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253" w:rsidRDefault="00752253" w:rsidP="00752253">
      <w:pPr>
        <w:pStyle w:val="1"/>
        <w:spacing w:before="240" w:after="0" w:line="240" w:lineRule="auto"/>
        <w:jc w:val="center"/>
        <w:rPr>
          <w:rFonts w:ascii="Times New Roman" w:hAnsi="Times New Roman"/>
          <w:b/>
          <w:color w:val="auto"/>
          <w:sz w:val="24"/>
          <w:szCs w:val="24"/>
        </w:rPr>
      </w:pPr>
      <w:r>
        <w:rPr>
          <w:rFonts w:ascii="Times New Roman" w:hAnsi="Times New Roman"/>
          <w:b/>
          <w:color w:val="auto"/>
          <w:sz w:val="24"/>
          <w:szCs w:val="24"/>
        </w:rPr>
        <w:t>ЕЗОФАГОГАСТРОДУОДЕНОСКОПІЯ</w:t>
      </w:r>
    </w:p>
    <w:p w:rsidR="00752253" w:rsidRDefault="00752253" w:rsidP="00752253">
      <w:pPr>
        <w:keepLines/>
        <w:spacing w:before="240" w:after="0" w:line="240"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Консультація пацієнта/пацієнтки лікарем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Консультація пацієнта/пацієнтки лікарем-анестезіологом перед проведенням анестезіологічного забезпечення з метою виявлення протипоказань або інших важливих аспектів щодо гарантування безпеки пацієнта/пацієнтки.</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Діагностична </w:t>
      </w:r>
      <w:proofErr w:type="spellStart"/>
      <w:r>
        <w:rPr>
          <w:rFonts w:ascii="Times New Roman" w:hAnsi="Times New Roman"/>
          <w:sz w:val="24"/>
          <w:szCs w:val="24"/>
        </w:rPr>
        <w:t>езофагогастродуоденоскопія</w:t>
      </w:r>
      <w:proofErr w:type="spellEnd"/>
      <w:r>
        <w:rPr>
          <w:rFonts w:ascii="Times New Roman" w:hAnsi="Times New Roman"/>
          <w:sz w:val="24"/>
          <w:szCs w:val="24"/>
        </w:rPr>
        <w:t xml:space="preserve"> для візуального огляду стравоходу, </w:t>
      </w:r>
      <w:proofErr w:type="spellStart"/>
      <w:r>
        <w:rPr>
          <w:rFonts w:ascii="Times New Roman" w:hAnsi="Times New Roman"/>
          <w:sz w:val="24"/>
          <w:szCs w:val="24"/>
        </w:rPr>
        <w:t>шлунка</w:t>
      </w:r>
      <w:proofErr w:type="spellEnd"/>
      <w:r>
        <w:rPr>
          <w:rFonts w:ascii="Times New Roman" w:hAnsi="Times New Roman"/>
          <w:sz w:val="24"/>
          <w:szCs w:val="24"/>
        </w:rPr>
        <w:t xml:space="preserve">, зокрема, огляд </w:t>
      </w:r>
      <w:proofErr w:type="spellStart"/>
      <w:r>
        <w:rPr>
          <w:rFonts w:ascii="Times New Roman" w:hAnsi="Times New Roman"/>
          <w:sz w:val="24"/>
          <w:szCs w:val="24"/>
        </w:rPr>
        <w:t>шлунка</w:t>
      </w:r>
      <w:proofErr w:type="spellEnd"/>
      <w:r>
        <w:rPr>
          <w:rFonts w:ascii="Times New Roman" w:hAnsi="Times New Roman"/>
          <w:sz w:val="24"/>
          <w:szCs w:val="24"/>
        </w:rPr>
        <w:t xml:space="preserve"> в інверсії, та дванадцятипалої кишки без проведення ендоскопічних маніпуляцій.</w:t>
      </w:r>
    </w:p>
    <w:p w:rsidR="00752253" w:rsidRDefault="00752253" w:rsidP="00752253">
      <w:pPr>
        <w:pStyle w:val="a3"/>
        <w:keepLines/>
        <w:numPr>
          <w:ilvl w:val="0"/>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Езофагогастродуоденоскопія</w:t>
      </w:r>
      <w:proofErr w:type="spellEnd"/>
      <w:r>
        <w:rPr>
          <w:rFonts w:ascii="Times New Roman" w:hAnsi="Times New Roman"/>
          <w:sz w:val="24"/>
          <w:szCs w:val="24"/>
        </w:rPr>
        <w:t xml:space="preserve"> для візуального огляду стравоходу, </w:t>
      </w:r>
      <w:proofErr w:type="spellStart"/>
      <w:r>
        <w:rPr>
          <w:rFonts w:ascii="Times New Roman" w:hAnsi="Times New Roman"/>
          <w:sz w:val="24"/>
          <w:szCs w:val="24"/>
        </w:rPr>
        <w:t>шлунка</w:t>
      </w:r>
      <w:proofErr w:type="spellEnd"/>
      <w:r>
        <w:rPr>
          <w:rFonts w:ascii="Times New Roman" w:hAnsi="Times New Roman"/>
          <w:sz w:val="24"/>
          <w:szCs w:val="24"/>
        </w:rPr>
        <w:t xml:space="preserve">, зокрема, огляд </w:t>
      </w:r>
      <w:proofErr w:type="spellStart"/>
      <w:r>
        <w:rPr>
          <w:rFonts w:ascii="Times New Roman" w:hAnsi="Times New Roman"/>
          <w:sz w:val="24"/>
          <w:szCs w:val="24"/>
        </w:rPr>
        <w:t>шлунка</w:t>
      </w:r>
      <w:proofErr w:type="spellEnd"/>
      <w:r>
        <w:rPr>
          <w:rFonts w:ascii="Times New Roman" w:hAnsi="Times New Roman"/>
          <w:sz w:val="24"/>
          <w:szCs w:val="24"/>
        </w:rPr>
        <w:t xml:space="preserve"> в інверсії, та дванадцятипалої кишки з ендоскопічною маніпуляцією (зокрема, взяттям матеріалу для гістологічного дослідження) та/або ендоскопічною операцією.</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Виконання </w:t>
      </w:r>
      <w:proofErr w:type="spellStart"/>
      <w:r>
        <w:rPr>
          <w:rFonts w:ascii="Times New Roman" w:hAnsi="Times New Roman"/>
          <w:sz w:val="24"/>
          <w:szCs w:val="24"/>
        </w:rPr>
        <w:t>хромоендоскопії</w:t>
      </w:r>
      <w:proofErr w:type="spellEnd"/>
      <w:r>
        <w:rPr>
          <w:rFonts w:ascii="Times New Roman" w:hAnsi="Times New Roman"/>
          <w:sz w:val="24"/>
          <w:szCs w:val="24"/>
        </w:rPr>
        <w:t xml:space="preserve"> (з використанням розчинів метиленового синього, індигокарміну тощо) та/або віртуальної </w:t>
      </w:r>
      <w:proofErr w:type="spellStart"/>
      <w:r>
        <w:rPr>
          <w:rFonts w:ascii="Times New Roman" w:hAnsi="Times New Roman"/>
          <w:sz w:val="24"/>
          <w:szCs w:val="24"/>
        </w:rPr>
        <w:t>хромоендоскопії</w:t>
      </w:r>
      <w:proofErr w:type="spellEnd"/>
      <w:r>
        <w:rPr>
          <w:rFonts w:ascii="Times New Roman" w:hAnsi="Times New Roman"/>
          <w:sz w:val="24"/>
          <w:szCs w:val="24"/>
        </w:rPr>
        <w:t xml:space="preserve"> за допомогою відповідного ендоскопічного обладнання і спеціалізованого програмного забезпечення для діагностики поверхневих утворень і раннього раку верхніх відділів шлунково-кишкового тракту.</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Виконання </w:t>
      </w:r>
      <w:proofErr w:type="spellStart"/>
      <w:r>
        <w:rPr>
          <w:rFonts w:ascii="Times New Roman" w:hAnsi="Times New Roman"/>
          <w:sz w:val="24"/>
          <w:szCs w:val="24"/>
        </w:rPr>
        <w:t>поліпозиційної</w:t>
      </w:r>
      <w:proofErr w:type="spellEnd"/>
      <w:r>
        <w:rPr>
          <w:rFonts w:ascii="Times New Roman" w:hAnsi="Times New Roman"/>
          <w:sz w:val="24"/>
          <w:szCs w:val="24"/>
        </w:rPr>
        <w:t xml:space="preserve"> біопсії для оцінки за системами «OLGA»/«OLGIM» (оперативні системи оцінки гастриту) (в </w:t>
      </w:r>
      <w:proofErr w:type="spellStart"/>
      <w:r>
        <w:rPr>
          <w:rFonts w:ascii="Times New Roman" w:hAnsi="Times New Roman"/>
          <w:sz w:val="24"/>
          <w:szCs w:val="24"/>
        </w:rPr>
        <w:t>антральному</w:t>
      </w:r>
      <w:proofErr w:type="spellEnd"/>
      <w:r>
        <w:rPr>
          <w:rFonts w:ascii="Times New Roman" w:hAnsi="Times New Roman"/>
          <w:sz w:val="24"/>
          <w:szCs w:val="24"/>
        </w:rPr>
        <w:t xml:space="preserve"> відділі по малій і великій кривизні, кут </w:t>
      </w:r>
      <w:proofErr w:type="spellStart"/>
      <w:r>
        <w:rPr>
          <w:rFonts w:ascii="Times New Roman" w:hAnsi="Times New Roman"/>
          <w:sz w:val="24"/>
          <w:szCs w:val="24"/>
        </w:rPr>
        <w:t>шлунка</w:t>
      </w:r>
      <w:proofErr w:type="spellEnd"/>
      <w:r>
        <w:rPr>
          <w:rFonts w:ascii="Times New Roman" w:hAnsi="Times New Roman"/>
          <w:sz w:val="24"/>
          <w:szCs w:val="24"/>
        </w:rPr>
        <w:t xml:space="preserve">, у тілі </w:t>
      </w:r>
      <w:proofErr w:type="spellStart"/>
      <w:r>
        <w:rPr>
          <w:rFonts w:ascii="Times New Roman" w:hAnsi="Times New Roman"/>
          <w:sz w:val="24"/>
          <w:szCs w:val="24"/>
        </w:rPr>
        <w:t>шлунка</w:t>
      </w:r>
      <w:proofErr w:type="spellEnd"/>
      <w:r>
        <w:rPr>
          <w:rFonts w:ascii="Times New Roman" w:hAnsi="Times New Roman"/>
          <w:sz w:val="24"/>
          <w:szCs w:val="24"/>
        </w:rPr>
        <w:t xml:space="preserve"> по великій і малій кривизні) для діагностики передракових змін слизової оболонки </w:t>
      </w:r>
      <w:proofErr w:type="spellStart"/>
      <w:r>
        <w:rPr>
          <w:rFonts w:ascii="Times New Roman" w:hAnsi="Times New Roman"/>
          <w:sz w:val="24"/>
          <w:szCs w:val="24"/>
        </w:rPr>
        <w:t>шлунка</w:t>
      </w:r>
      <w:proofErr w:type="spellEnd"/>
      <w:r>
        <w:rPr>
          <w:rFonts w:ascii="Times New Roman" w:hAnsi="Times New Roman"/>
          <w:sz w:val="24"/>
          <w:szCs w:val="24"/>
        </w:rPr>
        <w:t>, за наявності показань.</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Вимірювання вистеленого циліндричним епітелієм стравоходу (CLE) згідно з Празькою класифікацією «C&amp;M».</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Проведення місцевої або загальної анестезії.</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Забір та направлення біологічного матеріалу, взятого під час проведення процедури, для проведення гістологічного дослідження.</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Оформлення заключення та протоколу ендоскопічного втручання одразу після його проведення у повному обсязі з використанням стандартної термінології та класифікацій.</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Надання невідкладної медичної допомоги пацієнту/пацієнтці, а також виклик бригади екстреної (швидкої) медичної допомоги за потреби та надання невідкладної медичної допомоги до її прибуття.</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Направлення пацієнта/пацієнтки для отримання спеціалізованої медичної допомоги, інших медичних послуг.</w:t>
      </w:r>
    </w:p>
    <w:p w:rsidR="00752253" w:rsidRDefault="00752253" w:rsidP="00752253">
      <w:pPr>
        <w:pStyle w:val="a3"/>
        <w:keepLines/>
        <w:numPr>
          <w:ilvl w:val="0"/>
          <w:numId w:val="1"/>
        </w:numPr>
        <w:spacing w:after="0" w:line="240" w:lineRule="auto"/>
        <w:jc w:val="both"/>
        <w:rPr>
          <w:rFonts w:ascii="Times New Roman" w:hAnsi="Times New Roman"/>
          <w:sz w:val="24"/>
          <w:szCs w:val="24"/>
        </w:rPr>
      </w:pPr>
      <w:r>
        <w:rPr>
          <w:rFonts w:ascii="Times New Roman" w:hAnsi="Times New Roman"/>
          <w:sz w:val="24"/>
          <w:szCs w:val="24"/>
        </w:rPr>
        <w:t>Запис результатів обстеження (фото/</w:t>
      </w:r>
      <w:proofErr w:type="spellStart"/>
      <w:r>
        <w:rPr>
          <w:rFonts w:ascii="Times New Roman" w:hAnsi="Times New Roman"/>
          <w:sz w:val="24"/>
          <w:szCs w:val="24"/>
        </w:rPr>
        <w:t>відеофіксація</w:t>
      </w:r>
      <w:proofErr w:type="spellEnd"/>
      <w:r>
        <w:rPr>
          <w:rFonts w:ascii="Times New Roman" w:hAnsi="Times New Roman"/>
          <w:sz w:val="24"/>
          <w:szCs w:val="24"/>
        </w:rPr>
        <w:t>) на цифровий носій пацієнта/пацієнтки (за бажанням).</w:t>
      </w:r>
    </w:p>
    <w:p w:rsidR="00752253" w:rsidRDefault="00752253" w:rsidP="00752253">
      <w:pPr>
        <w:keepLines/>
        <w:spacing w:before="240" w:after="0" w:line="240" w:lineRule="auto"/>
        <w:jc w:val="center"/>
        <w:rPr>
          <w:rFonts w:ascii="Times New Roman" w:hAnsi="Times New Roman"/>
          <w:b/>
          <w:sz w:val="24"/>
          <w:szCs w:val="24"/>
        </w:rPr>
      </w:pPr>
      <w:r>
        <w:rPr>
          <w:rFonts w:ascii="Times New Roman" w:hAnsi="Times New Roman"/>
          <w:b/>
          <w:sz w:val="24"/>
          <w:szCs w:val="24"/>
        </w:rPr>
        <w:t>ЕЗОФАГОГАСТРОДУОДЕНОСКОПІЯ</w:t>
      </w:r>
    </w:p>
    <w:p w:rsidR="00752253" w:rsidRDefault="00752253" w:rsidP="00752253">
      <w:pPr>
        <w:keepLines/>
        <w:spacing w:before="240" w:after="0" w:line="240"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i/>
          <w:sz w:val="24"/>
          <w:szCs w:val="24"/>
        </w:rPr>
        <w:t xml:space="preserve">Умови надання послуги: </w:t>
      </w:r>
      <w:r>
        <w:rPr>
          <w:rFonts w:ascii="Times New Roman" w:hAnsi="Times New Roman"/>
          <w:sz w:val="24"/>
          <w:szCs w:val="24"/>
        </w:rPr>
        <w:t>амбулаторно.</w:t>
      </w:r>
    </w:p>
    <w:p w:rsidR="00752253" w:rsidRDefault="00752253" w:rsidP="00752253">
      <w:pPr>
        <w:keepLines/>
        <w:spacing w:before="240" w:after="0" w:line="240" w:lineRule="auto"/>
        <w:jc w:val="both"/>
        <w:rPr>
          <w:rFonts w:ascii="Times New Roman" w:hAnsi="Times New Roman"/>
          <w:i/>
          <w:sz w:val="24"/>
          <w:szCs w:val="24"/>
        </w:rPr>
      </w:pPr>
      <w:r>
        <w:rPr>
          <w:rFonts w:ascii="Times New Roman" w:hAnsi="Times New Roman"/>
          <w:i/>
          <w:sz w:val="24"/>
          <w:szCs w:val="24"/>
        </w:rPr>
        <w:t>Підстави надання послуги:</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направлення лікаря з надання ПМД, якого обрано за декларацією про вибір лікаря або направлення лікуючого лікаря-спеціаліста та вік пацієнта/пацієнтки – від 50 років і старше.</w:t>
      </w:r>
    </w:p>
    <w:p w:rsidR="00752253" w:rsidRDefault="00752253" w:rsidP="00752253">
      <w:pPr>
        <w:keepLines/>
        <w:spacing w:before="240" w:after="0" w:line="240" w:lineRule="auto"/>
        <w:jc w:val="both"/>
        <w:rPr>
          <w:rFonts w:ascii="Times New Roman" w:hAnsi="Times New Roman"/>
          <w:i/>
          <w:sz w:val="24"/>
          <w:szCs w:val="24"/>
        </w:rPr>
      </w:pPr>
      <w:r>
        <w:rPr>
          <w:rFonts w:ascii="Times New Roman" w:hAnsi="Times New Roman"/>
          <w:i/>
          <w:sz w:val="24"/>
          <w:szCs w:val="24"/>
        </w:rPr>
        <w:t>Вимоги до організації надання допомоги:</w:t>
      </w:r>
    </w:p>
    <w:p w:rsidR="00752253" w:rsidRDefault="00752253" w:rsidP="00752253">
      <w:pPr>
        <w:keepLines/>
        <w:spacing w:after="0" w:line="240" w:lineRule="auto"/>
        <w:jc w:val="both"/>
        <w:rPr>
          <w:rFonts w:ascii="Times New Roman" w:hAnsi="Times New Roman"/>
          <w:sz w:val="24"/>
          <w:szCs w:val="24"/>
          <w:highlight w:val="white"/>
        </w:rPr>
      </w:pPr>
      <w:r>
        <w:rPr>
          <w:rFonts w:ascii="Times New Roman" w:hAnsi="Times New Roman"/>
          <w:sz w:val="24"/>
          <w:szCs w:val="24"/>
        </w:rPr>
        <w:lastRenderedPageBreak/>
        <w:t xml:space="preserve">1.               </w:t>
      </w:r>
      <w:r>
        <w:rPr>
          <w:rFonts w:ascii="Times New Roman" w:hAnsi="Times New Roman"/>
          <w:sz w:val="24"/>
          <w:szCs w:val="24"/>
          <w:highlight w:val="white"/>
        </w:rPr>
        <w:t xml:space="preserve">Забезпечення фотофіксації (щонайменше 8 знімків, що зберігаються в медичній документації) та/або повної </w:t>
      </w:r>
      <w:proofErr w:type="spellStart"/>
      <w:r>
        <w:rPr>
          <w:rFonts w:ascii="Times New Roman" w:hAnsi="Times New Roman"/>
          <w:sz w:val="24"/>
          <w:szCs w:val="24"/>
          <w:highlight w:val="white"/>
        </w:rPr>
        <w:t>відеофіксації</w:t>
      </w:r>
      <w:proofErr w:type="spellEnd"/>
      <w:r>
        <w:rPr>
          <w:rFonts w:ascii="Times New Roman" w:hAnsi="Times New Roman"/>
          <w:sz w:val="24"/>
          <w:szCs w:val="24"/>
          <w:highlight w:val="white"/>
        </w:rPr>
        <w:t xml:space="preserve"> всього дослідження зі зберіганням цифрових фото/відеоматеріалів протягом 2 років  з фіксуванням головних орієнтирів:</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highlight w:val="white"/>
        </w:rPr>
        <w:t xml:space="preserve">на рівні 20 см від різців для загальної візуалізації стравоходу;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b.   </w:t>
      </w:r>
      <w:r>
        <w:rPr>
          <w:rFonts w:ascii="Times New Roman" w:hAnsi="Times New Roman"/>
          <w:sz w:val="24"/>
          <w:szCs w:val="24"/>
        </w:rPr>
        <w:tab/>
      </w:r>
      <w:r>
        <w:rPr>
          <w:rFonts w:ascii="Times New Roman" w:hAnsi="Times New Roman"/>
          <w:sz w:val="24"/>
          <w:szCs w:val="24"/>
          <w:highlight w:val="white"/>
        </w:rPr>
        <w:t xml:space="preserve">на 2 см вище Z лінії;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c.   </w:t>
      </w:r>
      <w:r>
        <w:rPr>
          <w:rFonts w:ascii="Times New Roman" w:hAnsi="Times New Roman"/>
          <w:sz w:val="24"/>
          <w:szCs w:val="24"/>
        </w:rPr>
        <w:tab/>
      </w:r>
      <w:r>
        <w:rPr>
          <w:rFonts w:ascii="Times New Roman" w:hAnsi="Times New Roman"/>
          <w:sz w:val="24"/>
          <w:szCs w:val="24"/>
          <w:highlight w:val="white"/>
        </w:rPr>
        <w:t xml:space="preserve">кардія в інверсії;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d.   </w:t>
      </w:r>
      <w:r>
        <w:rPr>
          <w:rFonts w:ascii="Times New Roman" w:hAnsi="Times New Roman"/>
          <w:sz w:val="24"/>
          <w:szCs w:val="24"/>
        </w:rPr>
        <w:tab/>
      </w:r>
      <w:r>
        <w:rPr>
          <w:rFonts w:ascii="Times New Roman" w:hAnsi="Times New Roman"/>
          <w:sz w:val="24"/>
          <w:szCs w:val="24"/>
          <w:highlight w:val="white"/>
        </w:rPr>
        <w:t xml:space="preserve">верхня частина малої кривизни;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e.   </w:t>
      </w:r>
      <w:r>
        <w:rPr>
          <w:rFonts w:ascii="Times New Roman" w:hAnsi="Times New Roman"/>
          <w:sz w:val="24"/>
          <w:szCs w:val="24"/>
        </w:rPr>
        <w:tab/>
      </w:r>
      <w:r>
        <w:rPr>
          <w:rFonts w:ascii="Times New Roman" w:hAnsi="Times New Roman"/>
          <w:sz w:val="24"/>
          <w:szCs w:val="24"/>
          <w:highlight w:val="white"/>
        </w:rPr>
        <w:t xml:space="preserve">кут шлунку з невеликою інверсією;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f.        </w:t>
      </w:r>
      <w:proofErr w:type="spellStart"/>
      <w:r>
        <w:rPr>
          <w:rFonts w:ascii="Times New Roman" w:hAnsi="Times New Roman"/>
          <w:sz w:val="24"/>
          <w:szCs w:val="24"/>
          <w:highlight w:val="white"/>
        </w:rPr>
        <w:t>антрум</w:t>
      </w:r>
      <w:proofErr w:type="spellEnd"/>
      <w:r>
        <w:rPr>
          <w:rFonts w:ascii="Times New Roman" w:hAnsi="Times New Roman"/>
          <w:sz w:val="24"/>
          <w:szCs w:val="24"/>
          <w:highlight w:val="white"/>
        </w:rPr>
        <w:t xml:space="preserve">;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g.   </w:t>
      </w:r>
      <w:r>
        <w:rPr>
          <w:rFonts w:ascii="Times New Roman" w:hAnsi="Times New Roman"/>
          <w:sz w:val="24"/>
          <w:szCs w:val="24"/>
        </w:rPr>
        <w:tab/>
      </w:r>
      <w:r>
        <w:rPr>
          <w:rFonts w:ascii="Times New Roman" w:hAnsi="Times New Roman"/>
          <w:sz w:val="24"/>
          <w:szCs w:val="24"/>
          <w:highlight w:val="white"/>
        </w:rPr>
        <w:t xml:space="preserve">цибулина дванадцятипалої кишки;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h.   </w:t>
      </w:r>
      <w:r>
        <w:rPr>
          <w:rFonts w:ascii="Times New Roman" w:hAnsi="Times New Roman"/>
          <w:sz w:val="24"/>
          <w:szCs w:val="24"/>
        </w:rPr>
        <w:tab/>
      </w:r>
      <w:r>
        <w:rPr>
          <w:rFonts w:ascii="Times New Roman" w:hAnsi="Times New Roman"/>
          <w:sz w:val="24"/>
          <w:szCs w:val="24"/>
          <w:highlight w:val="white"/>
        </w:rPr>
        <w:t xml:space="preserve">другої частини дванадцятипалої кишки (низхідний відділ); </w:t>
      </w:r>
    </w:p>
    <w:p w:rsidR="00752253" w:rsidRDefault="00752253" w:rsidP="00752253">
      <w:pPr>
        <w:keepLines/>
        <w:spacing w:after="0" w:line="240" w:lineRule="auto"/>
        <w:ind w:left="280"/>
        <w:jc w:val="both"/>
        <w:rPr>
          <w:rFonts w:ascii="Times New Roman" w:hAnsi="Times New Roman"/>
          <w:sz w:val="24"/>
          <w:szCs w:val="24"/>
          <w:highlight w:val="white"/>
        </w:rPr>
      </w:pPr>
      <w:r>
        <w:rPr>
          <w:rFonts w:ascii="Times New Roman" w:hAnsi="Times New Roman"/>
          <w:sz w:val="24"/>
          <w:szCs w:val="24"/>
        </w:rPr>
        <w:t xml:space="preserve">i.        </w:t>
      </w:r>
      <w:r>
        <w:rPr>
          <w:rFonts w:ascii="Times New Roman" w:hAnsi="Times New Roman"/>
          <w:sz w:val="24"/>
          <w:szCs w:val="24"/>
          <w:highlight w:val="white"/>
        </w:rPr>
        <w:t>локальних змін слизової оболонки та всіх утворень (поліпів, виразок, пухлин тощо).</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 xml:space="preserve">2.               Забезпечення проведення гістологічного дослідження у закладі охорони здоров’я (ЗОЗ) або на умовах договору </w:t>
      </w:r>
      <w:proofErr w:type="spellStart"/>
      <w:r>
        <w:rPr>
          <w:rFonts w:ascii="Times New Roman" w:hAnsi="Times New Roman"/>
          <w:sz w:val="24"/>
          <w:szCs w:val="24"/>
        </w:rPr>
        <w:t>підряду</w:t>
      </w:r>
      <w:proofErr w:type="spellEnd"/>
      <w:r>
        <w:rPr>
          <w:rFonts w:ascii="Times New Roman" w:hAnsi="Times New Roman"/>
          <w:sz w:val="24"/>
          <w:szCs w:val="24"/>
        </w:rPr>
        <w:t>.</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3.               Наявність кімнати/зони для спостереження за станом пацієнтів після ендоскопічного дослідження/втручання.</w:t>
      </w:r>
    </w:p>
    <w:p w:rsidR="00752253" w:rsidRDefault="00752253" w:rsidP="00752253">
      <w:pPr>
        <w:keepLines/>
        <w:spacing w:after="0" w:line="240" w:lineRule="auto"/>
        <w:jc w:val="both"/>
        <w:rPr>
          <w:rFonts w:ascii="Times New Roman" w:hAnsi="Times New Roman"/>
          <w:b/>
          <w:sz w:val="24"/>
          <w:szCs w:val="24"/>
          <w:highlight w:val="white"/>
        </w:rPr>
      </w:pPr>
      <w:r>
        <w:rPr>
          <w:rFonts w:ascii="Times New Roman" w:hAnsi="Times New Roman"/>
          <w:b/>
          <w:sz w:val="24"/>
          <w:szCs w:val="24"/>
        </w:rPr>
        <w:t xml:space="preserve">4.               </w:t>
      </w:r>
      <w:r>
        <w:rPr>
          <w:rFonts w:ascii="Times New Roman" w:hAnsi="Times New Roman"/>
          <w:b/>
          <w:sz w:val="24"/>
          <w:szCs w:val="24"/>
          <w:highlight w:val="white"/>
        </w:rPr>
        <w:t>Наявність окремого приміщення для проведення очищення, дезінфекції/стерилізації гнучких ендоскопів.</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5.               Взаємодія з іншими надавачами медичних послуг для своєчасного та ефективного надання допомоги пацієнтам.</w:t>
      </w:r>
    </w:p>
    <w:p w:rsidR="00752253" w:rsidRDefault="00752253" w:rsidP="00752253">
      <w:pPr>
        <w:keepLines/>
        <w:spacing w:after="0" w:line="240" w:lineRule="auto"/>
        <w:jc w:val="both"/>
        <w:rPr>
          <w:rFonts w:ascii="Times New Roman" w:hAnsi="Times New Roman"/>
          <w:b/>
          <w:sz w:val="24"/>
          <w:szCs w:val="24"/>
          <w:highlight w:val="white"/>
        </w:rPr>
      </w:pPr>
      <w:r>
        <w:rPr>
          <w:rFonts w:ascii="Times New Roman" w:hAnsi="Times New Roman"/>
          <w:b/>
          <w:sz w:val="24"/>
          <w:szCs w:val="24"/>
        </w:rPr>
        <w:t xml:space="preserve">6.               </w:t>
      </w:r>
      <w:r>
        <w:rPr>
          <w:rFonts w:ascii="Times New Roman" w:hAnsi="Times New Roman"/>
          <w:b/>
          <w:sz w:val="24"/>
          <w:szCs w:val="24"/>
          <w:highlight w:val="white"/>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752253" w:rsidRDefault="00752253" w:rsidP="00752253">
      <w:pPr>
        <w:keepLines/>
        <w:spacing w:after="0" w:line="240" w:lineRule="auto"/>
        <w:jc w:val="both"/>
        <w:rPr>
          <w:rFonts w:ascii="Times New Roman" w:hAnsi="Times New Roman"/>
          <w:b/>
          <w:sz w:val="24"/>
          <w:szCs w:val="24"/>
          <w:highlight w:val="white"/>
        </w:rPr>
      </w:pPr>
      <w:r>
        <w:rPr>
          <w:rFonts w:ascii="Times New Roman" w:hAnsi="Times New Roman"/>
          <w:b/>
          <w:sz w:val="24"/>
          <w:szCs w:val="24"/>
        </w:rPr>
        <w:t xml:space="preserve">7.               </w:t>
      </w:r>
      <w:r>
        <w:rPr>
          <w:rFonts w:ascii="Times New Roman" w:hAnsi="Times New Roman"/>
          <w:b/>
          <w:sz w:val="24"/>
          <w:szCs w:val="24"/>
          <w:highlight w:val="white"/>
        </w:rPr>
        <w:t xml:space="preserve">Наявність плану протиепідемічної готовності / реагування на випадок виявлення особливо небезпечних інфекційних </w:t>
      </w:r>
      <w:proofErr w:type="spellStart"/>
      <w:r>
        <w:rPr>
          <w:rFonts w:ascii="Times New Roman" w:hAnsi="Times New Roman"/>
          <w:b/>
          <w:sz w:val="24"/>
          <w:szCs w:val="24"/>
          <w:highlight w:val="white"/>
        </w:rPr>
        <w:t>хвороб</w:t>
      </w:r>
      <w:proofErr w:type="spellEnd"/>
      <w:r>
        <w:rPr>
          <w:rFonts w:ascii="Times New Roman" w:hAnsi="Times New Roman"/>
          <w:b/>
          <w:sz w:val="24"/>
          <w:szCs w:val="24"/>
          <w:highlight w:val="white"/>
        </w:rPr>
        <w:t>.</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8.               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9.               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10.            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752253" w:rsidRDefault="00752253" w:rsidP="00752253">
      <w:pPr>
        <w:keepLines/>
        <w:spacing w:after="0" w:line="240" w:lineRule="auto"/>
        <w:jc w:val="both"/>
        <w:rPr>
          <w:rFonts w:ascii="Times New Roman" w:hAnsi="Times New Roman"/>
          <w:sz w:val="24"/>
          <w:szCs w:val="24"/>
        </w:rPr>
      </w:pPr>
      <w:r>
        <w:rPr>
          <w:rFonts w:ascii="Times New Roman" w:hAnsi="Times New Roman"/>
          <w:sz w:val="24"/>
          <w:szCs w:val="24"/>
        </w:rPr>
        <w:t>11.            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752253" w:rsidRDefault="00752253" w:rsidP="00752253">
      <w:pPr>
        <w:keepLines/>
        <w:spacing w:before="240" w:after="0" w:line="240" w:lineRule="auto"/>
        <w:jc w:val="both"/>
        <w:rPr>
          <w:rFonts w:ascii="Times New Roman" w:hAnsi="Times New Roman"/>
          <w:i/>
          <w:sz w:val="24"/>
          <w:szCs w:val="24"/>
        </w:rPr>
      </w:pPr>
      <w:r>
        <w:rPr>
          <w:rFonts w:ascii="Times New Roman" w:hAnsi="Times New Roman"/>
          <w:i/>
          <w:sz w:val="24"/>
          <w:szCs w:val="24"/>
        </w:rPr>
        <w:t>Вимоги до спеціалістів та кількості фахівців, які працюють на посадах:</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1.     За місцем надання медичних послуг:</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a.      Лікар-</w:t>
      </w:r>
      <w:proofErr w:type="spellStart"/>
      <w:r>
        <w:rPr>
          <w:rFonts w:ascii="Times New Roman" w:hAnsi="Times New Roman"/>
          <w:sz w:val="24"/>
          <w:szCs w:val="24"/>
        </w:rPr>
        <w:t>ендоскопіст</w:t>
      </w:r>
      <w:proofErr w:type="spellEnd"/>
      <w:r>
        <w:rPr>
          <w:rFonts w:ascii="Times New Roman" w:hAnsi="Times New Roman"/>
          <w:sz w:val="24"/>
          <w:szCs w:val="24"/>
        </w:rPr>
        <w:t xml:space="preserve"> – щонайменше одна особа, яка працює за основним місцем роботи у цьому ЗОЗ або за сумісництвом.</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b.     Сестра медична (брат медичний) – щонайменше одна особа, яка працює за основним місцем роботи у цьому ЗОЗ або за сумісництвом.</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2. У ЗОЗ:</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lastRenderedPageBreak/>
        <w:t>a.    Лікар-анестезіолог – щонайменше одна особа, яка працює за основним місцем роботи у цьому ЗОЗ або за сумісництвом.</w:t>
      </w:r>
    </w:p>
    <w:p w:rsidR="00752253" w:rsidRDefault="00752253" w:rsidP="00752253">
      <w:pPr>
        <w:keepLines/>
        <w:spacing w:before="240" w:after="0" w:line="24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Вимоги до переліку обладнання:</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1.     За місцем надання медичних послуг (кабінет):</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a.   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або кисневий концентратор, що здатний підтримувати швидкість потоку кисню щонайменше 10 л/хв;</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b.  система ендоскопічної візуалізації з </w:t>
      </w:r>
      <w:proofErr w:type="spellStart"/>
      <w:r>
        <w:rPr>
          <w:rFonts w:ascii="Times New Roman" w:hAnsi="Times New Roman"/>
          <w:sz w:val="24"/>
          <w:szCs w:val="24"/>
        </w:rPr>
        <w:t>відеогастроскопом</w:t>
      </w:r>
      <w:proofErr w:type="spellEnd"/>
      <w:r>
        <w:rPr>
          <w:rFonts w:ascii="Times New Roman" w:hAnsi="Times New Roman"/>
          <w:sz w:val="24"/>
          <w:szCs w:val="24"/>
        </w:rPr>
        <w:t>;</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bCs/>
          <w:sz w:val="24"/>
          <w:szCs w:val="24"/>
        </w:rPr>
        <w:t>c.</w:t>
      </w:r>
      <w:r>
        <w:rPr>
          <w:rFonts w:ascii="Times New Roman" w:hAnsi="Times New Roman"/>
          <w:sz w:val="24"/>
          <w:szCs w:val="24"/>
        </w:rPr>
        <w:t xml:space="preserve">   аспіратор (відсмоктувач);</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d.   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e.   аптечка для надання невідкладної допомоги;</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f.    тонометр;</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g.   </w:t>
      </w:r>
      <w:proofErr w:type="spellStart"/>
      <w:r>
        <w:rPr>
          <w:rFonts w:ascii="Times New Roman" w:hAnsi="Times New Roman"/>
          <w:sz w:val="24"/>
          <w:szCs w:val="24"/>
        </w:rPr>
        <w:t>пульсоксиметр</w:t>
      </w:r>
      <w:proofErr w:type="spellEnd"/>
      <w:r>
        <w:rPr>
          <w:rFonts w:ascii="Times New Roman" w:hAnsi="Times New Roman"/>
          <w:sz w:val="24"/>
          <w:szCs w:val="24"/>
        </w:rPr>
        <w:t>.</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У ЗОЗ (за місцем розташування кабінету):</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a.   портативний дефібрилятор з функцією синхронізації.</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b.   автоматичний дозатор лікувальних речовин;</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c. 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d.  ларингоскоп з набором клинків.</w:t>
      </w:r>
    </w:p>
    <w:p w:rsidR="00752253" w:rsidRDefault="00752253" w:rsidP="00752253">
      <w:pPr>
        <w:keepLines/>
        <w:spacing w:before="240" w:after="0" w:line="240" w:lineRule="auto"/>
        <w:jc w:val="both"/>
        <w:rPr>
          <w:rFonts w:ascii="Times New Roman" w:hAnsi="Times New Roman"/>
          <w:i/>
          <w:sz w:val="24"/>
          <w:szCs w:val="24"/>
        </w:rPr>
      </w:pPr>
      <w:r>
        <w:rPr>
          <w:rFonts w:ascii="Times New Roman" w:hAnsi="Times New Roman"/>
          <w:i/>
          <w:sz w:val="24"/>
          <w:szCs w:val="24"/>
        </w:rPr>
        <w:t>Інші вимоги:</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1.  Наявність ліцензії на провадження господарської діяльності з медичної практики за спеціальністю ендоскопія, анестезіологія.</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2. 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 </w:t>
      </w:r>
    </w:p>
    <w:p w:rsidR="00752253" w:rsidRDefault="00752253" w:rsidP="00752253">
      <w:pPr>
        <w:keepLines/>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A94EFD" w:rsidRDefault="00A94EFD">
      <w:bookmarkStart w:id="0" w:name="_GoBack"/>
      <w:bookmarkEnd w:id="0"/>
    </w:p>
    <w:sectPr w:rsidR="00A94E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F06BC"/>
    <w:multiLevelType w:val="hybridMultilevel"/>
    <w:tmpl w:val="EDE2B6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3"/>
    <w:rsid w:val="00752253"/>
    <w:rsid w:val="00A94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FEBD8-E752-416C-AC3E-B17160B5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253"/>
    <w:rPr>
      <w:rFonts w:ascii="Aptos" w:eastAsia="Times New Roman" w:hAnsi="Aptos" w:cs="Times New Roman"/>
      <w:lang w:eastAsia="uk-UA"/>
    </w:rPr>
  </w:style>
  <w:style w:type="paragraph" w:styleId="1">
    <w:name w:val="heading 1"/>
    <w:basedOn w:val="a"/>
    <w:next w:val="a"/>
    <w:link w:val="10"/>
    <w:uiPriority w:val="9"/>
    <w:qFormat/>
    <w:rsid w:val="00752253"/>
    <w:pPr>
      <w:keepNext/>
      <w:keepLines/>
      <w:spacing w:before="360" w:after="80"/>
      <w:outlineLvl w:val="0"/>
    </w:pPr>
    <w:rPr>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253"/>
    <w:rPr>
      <w:rFonts w:ascii="Aptos" w:eastAsia="Times New Roman" w:hAnsi="Aptos" w:cs="Times New Roman"/>
      <w:color w:val="2F5496" w:themeColor="accent1" w:themeShade="BF"/>
      <w:sz w:val="40"/>
      <w:szCs w:val="40"/>
      <w:lang w:eastAsia="uk-UA"/>
    </w:rPr>
  </w:style>
  <w:style w:type="paragraph" w:styleId="a3">
    <w:name w:val="List Paragraph"/>
    <w:basedOn w:val="a"/>
    <w:qFormat/>
    <w:rsid w:val="0075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4548</Words>
  <Characters>2593</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2024-05-21T09:05:00Z</dcterms:created>
  <dcterms:modified xsi:type="dcterms:W3CDTF">2024-05-21T09:05:00Z</dcterms:modified>
</cp:coreProperties>
</file>