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1A9" w14:textId="77777777" w:rsidR="005B5750" w:rsidRDefault="005B5750">
      <w:pPr>
        <w:shd w:val="clear" w:color="auto" w:fill="FFFFFF"/>
        <w:spacing w:after="0" w:line="240" w:lineRule="auto"/>
        <w:jc w:val="both"/>
        <w:rPr>
          <w:rFonts w:ascii="Times New Roman" w:eastAsia="Times New Roman" w:hAnsi="Times New Roman" w:cs="Times New Roman"/>
          <w:sz w:val="24"/>
          <w:szCs w:val="24"/>
        </w:rPr>
      </w:pPr>
    </w:p>
    <w:p w14:paraId="000001AA" w14:textId="0F05F5DA" w:rsidR="005B5750" w:rsidRDefault="00E241CC">
      <w:pPr>
        <w:pStyle w:val="2"/>
        <w:shd w:val="clear" w:color="auto" w:fill="FFFFFF"/>
        <w:spacing w:before="240" w:after="0" w:line="276" w:lineRule="auto"/>
        <w:jc w:val="center"/>
        <w:rPr>
          <w:rFonts w:ascii="Times New Roman" w:eastAsia="Times New Roman" w:hAnsi="Times New Roman" w:cs="Times New Roman"/>
          <w:sz w:val="24"/>
          <w:szCs w:val="24"/>
        </w:rPr>
      </w:pPr>
      <w:bookmarkStart w:id="0" w:name="_heading=h.l23pnqhaogwt" w:colFirst="0" w:colLast="0"/>
      <w:bookmarkStart w:id="1" w:name="_GoBack"/>
      <w:bookmarkEnd w:id="0"/>
      <w:r>
        <w:rPr>
          <w:rFonts w:ascii="Times New Roman" w:eastAsia="Times New Roman" w:hAnsi="Times New Roman" w:cs="Times New Roman"/>
          <w:sz w:val="24"/>
          <w:szCs w:val="24"/>
        </w:rPr>
        <w:t xml:space="preserve">ЛІКУВАННЯ ДОРОСЛИХ ТА ДІТЕЙ МЕТОДОМ ТРАНСПЛАНТАЦІЇ ГЕМОПОЕТИЧНИХ СТОВБУРОВИХ КЛІТИН </w:t>
      </w:r>
    </w:p>
    <w:bookmarkEnd w:id="1"/>
    <w:p w14:paraId="000001AB" w14:textId="77777777" w:rsidR="005B5750" w:rsidRDefault="00E241CC" w:rsidP="00405D26">
      <w:pPr>
        <w:shd w:val="clear" w:color="auto" w:fill="FFFFFF"/>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Обсяг медичних послуг, який надавач зобов’язує</w:t>
      </w:r>
      <w:r>
        <w:rPr>
          <w:rFonts w:ascii="Times New Roman" w:eastAsia="Times New Roman" w:hAnsi="Times New Roman" w:cs="Times New Roman"/>
          <w:b/>
          <w:sz w:val="24"/>
          <w:szCs w:val="24"/>
        </w:rPr>
        <w:t>ться надавати за договором відповідно до медичних потреб пацієнта/пацієнтки (специфікація)</w:t>
      </w:r>
    </w:p>
    <w:p w14:paraId="000001AC"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AD" w14:textId="77777777" w:rsidR="005B5750" w:rsidRDefault="00E241CC">
      <w:pPr>
        <w:shd w:val="clear" w:color="auto" w:fill="FFFFFF"/>
        <w:spacing w:after="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Динамічне спостереження за станом пацієнта/пацієнтки реципієнта впродовж лікування методом трансплантації стовбурових </w:t>
      </w:r>
      <w:proofErr w:type="spellStart"/>
      <w:r>
        <w:rPr>
          <w:rFonts w:ascii="Times New Roman" w:eastAsia="Times New Roman" w:hAnsi="Times New Roman" w:cs="Times New Roman"/>
          <w:sz w:val="24"/>
          <w:szCs w:val="24"/>
        </w:rPr>
        <w:t>гемопоетичних</w:t>
      </w:r>
      <w:proofErr w:type="spellEnd"/>
      <w:r>
        <w:rPr>
          <w:rFonts w:ascii="Times New Roman" w:eastAsia="Times New Roman" w:hAnsi="Times New Roman" w:cs="Times New Roman"/>
          <w:sz w:val="24"/>
          <w:szCs w:val="24"/>
        </w:rPr>
        <w:t xml:space="preserve"> клітин (ТГСК).</w:t>
      </w:r>
    </w:p>
    <w:p w14:paraId="000001AE" w14:textId="77777777" w:rsidR="005B5750" w:rsidRDefault="00E241CC">
      <w:pPr>
        <w:shd w:val="clear" w:color="auto" w:fill="FFFFFF"/>
        <w:spacing w:after="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необхідних лабораторних досліджень пацієнту/пацієнтці-реципієнту </w:t>
      </w:r>
      <w:proofErr w:type="spellStart"/>
      <w:r>
        <w:rPr>
          <w:rFonts w:ascii="Times New Roman" w:eastAsia="Times New Roman" w:hAnsi="Times New Roman" w:cs="Times New Roman"/>
          <w:sz w:val="24"/>
          <w:szCs w:val="24"/>
        </w:rPr>
        <w:t>гемопоетичних</w:t>
      </w:r>
      <w:proofErr w:type="spellEnd"/>
      <w:r>
        <w:rPr>
          <w:rFonts w:ascii="Times New Roman" w:eastAsia="Times New Roman" w:hAnsi="Times New Roman" w:cs="Times New Roman"/>
          <w:sz w:val="24"/>
          <w:szCs w:val="24"/>
        </w:rPr>
        <w:t xml:space="preserve"> стовбурових клітин  (ГСК), зокрема:</w:t>
      </w:r>
    </w:p>
    <w:p w14:paraId="000001AF"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розгорнутий клінічний аналіз крові на автоматичному гематологічному аналізаторі; </w:t>
      </w:r>
      <w:proofErr w:type="spellStart"/>
      <w:r>
        <w:rPr>
          <w:rFonts w:ascii="Times New Roman" w:eastAsia="Times New Roman" w:hAnsi="Times New Roman" w:cs="Times New Roman"/>
          <w:sz w:val="24"/>
          <w:szCs w:val="24"/>
        </w:rPr>
        <w:t>цитоморфологічне</w:t>
      </w:r>
      <w:proofErr w:type="spellEnd"/>
      <w:r>
        <w:rPr>
          <w:rFonts w:ascii="Times New Roman" w:eastAsia="Times New Roman" w:hAnsi="Times New Roman" w:cs="Times New Roman"/>
          <w:sz w:val="24"/>
          <w:szCs w:val="24"/>
        </w:rPr>
        <w:t xml:space="preserve"> дослідження клітин кро</w:t>
      </w:r>
      <w:r>
        <w:rPr>
          <w:rFonts w:ascii="Times New Roman" w:eastAsia="Times New Roman" w:hAnsi="Times New Roman" w:cs="Times New Roman"/>
          <w:sz w:val="24"/>
          <w:szCs w:val="24"/>
        </w:rPr>
        <w:t xml:space="preserve">ві, диференційований підрахунок лейкоцитів (лейкоцитарна формула); підрахунок кількості </w:t>
      </w:r>
      <w:proofErr w:type="spellStart"/>
      <w:r>
        <w:rPr>
          <w:rFonts w:ascii="Times New Roman" w:eastAsia="Times New Roman" w:hAnsi="Times New Roman" w:cs="Times New Roman"/>
          <w:sz w:val="24"/>
          <w:szCs w:val="24"/>
        </w:rPr>
        <w:t>ретикулоцитів</w:t>
      </w:r>
      <w:proofErr w:type="spellEnd"/>
      <w:r>
        <w:rPr>
          <w:rFonts w:ascii="Times New Roman" w:eastAsia="Times New Roman" w:hAnsi="Times New Roman" w:cs="Times New Roman"/>
          <w:sz w:val="24"/>
          <w:szCs w:val="24"/>
        </w:rPr>
        <w:t xml:space="preserve"> (у цілодобовому режимі), проведення </w:t>
      </w:r>
      <w:proofErr w:type="spellStart"/>
      <w:r>
        <w:rPr>
          <w:rFonts w:ascii="Times New Roman" w:eastAsia="Times New Roman" w:hAnsi="Times New Roman" w:cs="Times New Roman"/>
          <w:sz w:val="24"/>
          <w:szCs w:val="24"/>
        </w:rPr>
        <w:t>імунофенотипування</w:t>
      </w:r>
      <w:proofErr w:type="spellEnd"/>
      <w:r>
        <w:rPr>
          <w:rFonts w:ascii="Times New Roman" w:eastAsia="Times New Roman" w:hAnsi="Times New Roman" w:cs="Times New Roman"/>
          <w:sz w:val="24"/>
          <w:szCs w:val="24"/>
        </w:rPr>
        <w:t xml:space="preserve"> крові за системи C,D,E та </w:t>
      </w:r>
      <w:proofErr w:type="spellStart"/>
      <w:r>
        <w:rPr>
          <w:rFonts w:ascii="Times New Roman" w:eastAsia="Times New Roman" w:hAnsi="Times New Roman" w:cs="Times New Roman"/>
          <w:sz w:val="24"/>
          <w:szCs w:val="24"/>
        </w:rPr>
        <w:t>Kell</w:t>
      </w:r>
      <w:proofErr w:type="spellEnd"/>
      <w:r>
        <w:rPr>
          <w:rFonts w:ascii="Times New Roman" w:eastAsia="Times New Roman" w:hAnsi="Times New Roman" w:cs="Times New Roman"/>
          <w:sz w:val="24"/>
          <w:szCs w:val="24"/>
        </w:rPr>
        <w:t>;</w:t>
      </w:r>
    </w:p>
    <w:p w14:paraId="000001B0"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визначення групи крові і резус-фактора (в цілодобовому реж</w:t>
      </w:r>
      <w:r>
        <w:rPr>
          <w:rFonts w:ascii="Times New Roman" w:eastAsia="Times New Roman" w:hAnsi="Times New Roman" w:cs="Times New Roman"/>
          <w:sz w:val="24"/>
          <w:szCs w:val="24"/>
        </w:rPr>
        <w:t>имі);</w:t>
      </w:r>
    </w:p>
    <w:p w14:paraId="000001B1"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біохімічний аналіз крові (електроліти: хлор, калій, натрій, кальцій, фосфор), глюкоза, загальний білок, С-реактивний білок (кількісне визначення), альфа-амілаза, </w:t>
      </w:r>
      <w:proofErr w:type="spellStart"/>
      <w:r>
        <w:rPr>
          <w:rFonts w:ascii="Times New Roman" w:eastAsia="Times New Roman" w:hAnsi="Times New Roman" w:cs="Times New Roman"/>
          <w:sz w:val="24"/>
          <w:szCs w:val="24"/>
        </w:rPr>
        <w:t>аспартатамінотрансфераза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аланінамінотрансфераза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АлАТ</w:t>
      </w:r>
      <w:proofErr w:type="spellEnd"/>
      <w:r>
        <w:rPr>
          <w:rFonts w:ascii="Times New Roman" w:eastAsia="Times New Roman" w:hAnsi="Times New Roman" w:cs="Times New Roman"/>
          <w:sz w:val="24"/>
          <w:szCs w:val="24"/>
        </w:rPr>
        <w:t xml:space="preserve">), білірубін і його фракції (загальний, прямий, непрямий), креатинін, сечовина, сечова кислота, </w:t>
      </w:r>
      <w:proofErr w:type="spellStart"/>
      <w:r>
        <w:rPr>
          <w:rFonts w:ascii="Times New Roman" w:eastAsia="Times New Roman" w:hAnsi="Times New Roman" w:cs="Times New Roman"/>
          <w:sz w:val="24"/>
          <w:szCs w:val="24"/>
        </w:rPr>
        <w:t>pH</w:t>
      </w:r>
      <w:proofErr w:type="spellEnd"/>
      <w:r>
        <w:rPr>
          <w:rFonts w:ascii="Times New Roman" w:eastAsia="Times New Roman" w:hAnsi="Times New Roman" w:cs="Times New Roman"/>
          <w:sz w:val="24"/>
          <w:szCs w:val="24"/>
        </w:rPr>
        <w:t xml:space="preserve"> крові (в цілодобовому режимі); гамма-</w:t>
      </w:r>
      <w:proofErr w:type="spellStart"/>
      <w:r>
        <w:rPr>
          <w:rFonts w:ascii="Times New Roman" w:eastAsia="Times New Roman" w:hAnsi="Times New Roman" w:cs="Times New Roman"/>
          <w:sz w:val="24"/>
          <w:szCs w:val="24"/>
        </w:rPr>
        <w:t>глутамілтранспептидаза</w:t>
      </w:r>
      <w:proofErr w:type="spellEnd"/>
      <w:r>
        <w:rPr>
          <w:rFonts w:ascii="Times New Roman" w:eastAsia="Times New Roman" w:hAnsi="Times New Roman" w:cs="Times New Roman"/>
          <w:sz w:val="24"/>
          <w:szCs w:val="24"/>
        </w:rPr>
        <w:t xml:space="preserve"> (ГГТП), лактатдегідрогеназа (ЛДГ), лужна фосфатаза (ЛФ), </w:t>
      </w:r>
      <w:proofErr w:type="spellStart"/>
      <w:r>
        <w:rPr>
          <w:rFonts w:ascii="Times New Roman" w:eastAsia="Times New Roman" w:hAnsi="Times New Roman" w:cs="Times New Roman"/>
          <w:sz w:val="24"/>
          <w:szCs w:val="24"/>
        </w:rPr>
        <w:t>феритин</w:t>
      </w:r>
      <w:proofErr w:type="spellEnd"/>
      <w:r>
        <w:rPr>
          <w:rFonts w:ascii="Times New Roman" w:eastAsia="Times New Roman" w:hAnsi="Times New Roman" w:cs="Times New Roman"/>
          <w:sz w:val="24"/>
          <w:szCs w:val="24"/>
        </w:rPr>
        <w:t>, рівень сироваткового заліза, β2</w:t>
      </w:r>
      <w:r>
        <w:rPr>
          <w:rFonts w:ascii="Times New Roman" w:eastAsia="Times New Roman" w:hAnsi="Times New Roman" w:cs="Times New Roman"/>
          <w:sz w:val="24"/>
          <w:szCs w:val="24"/>
        </w:rPr>
        <w:t xml:space="preserve">-мікроглобулін; </w:t>
      </w:r>
      <w:proofErr w:type="spellStart"/>
      <w:r>
        <w:rPr>
          <w:rFonts w:ascii="Times New Roman" w:eastAsia="Times New Roman" w:hAnsi="Times New Roman" w:cs="Times New Roman"/>
          <w:sz w:val="24"/>
          <w:szCs w:val="24"/>
        </w:rPr>
        <w:t>трансферин</w:t>
      </w:r>
      <w:proofErr w:type="spellEnd"/>
      <w:r>
        <w:rPr>
          <w:rFonts w:ascii="Times New Roman" w:eastAsia="Times New Roman" w:hAnsi="Times New Roman" w:cs="Times New Roman"/>
          <w:sz w:val="24"/>
          <w:szCs w:val="24"/>
        </w:rPr>
        <w:t>, залізо-</w:t>
      </w:r>
      <w:proofErr w:type="spellStart"/>
      <w:r>
        <w:rPr>
          <w:rFonts w:ascii="Times New Roman" w:eastAsia="Times New Roman" w:hAnsi="Times New Roman" w:cs="Times New Roman"/>
          <w:sz w:val="24"/>
          <w:szCs w:val="24"/>
        </w:rPr>
        <w:t>зв’язуюча</w:t>
      </w:r>
      <w:proofErr w:type="spellEnd"/>
      <w:r>
        <w:rPr>
          <w:rFonts w:ascii="Times New Roman" w:eastAsia="Times New Roman" w:hAnsi="Times New Roman" w:cs="Times New Roman"/>
          <w:sz w:val="24"/>
          <w:szCs w:val="24"/>
        </w:rPr>
        <w:t xml:space="preserve"> здатність сироватки, фолієва кислота, вітамін В12, </w:t>
      </w:r>
      <w:proofErr w:type="spellStart"/>
      <w:r>
        <w:rPr>
          <w:rFonts w:ascii="Times New Roman" w:eastAsia="Times New Roman" w:hAnsi="Times New Roman" w:cs="Times New Roman"/>
          <w:sz w:val="24"/>
          <w:szCs w:val="24"/>
        </w:rPr>
        <w:t>гаптоглобін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прокальцитонін</w:t>
      </w:r>
      <w:proofErr w:type="spellEnd"/>
      <w:r>
        <w:rPr>
          <w:rFonts w:ascii="Times New Roman" w:eastAsia="Times New Roman" w:hAnsi="Times New Roman" w:cs="Times New Roman"/>
          <w:sz w:val="24"/>
          <w:szCs w:val="24"/>
        </w:rPr>
        <w:t>; альбумін;</w:t>
      </w:r>
    </w:p>
    <w:p w14:paraId="000001B2"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показників ліпідного профілю: </w:t>
      </w:r>
      <w:proofErr w:type="spellStart"/>
      <w:r>
        <w:rPr>
          <w:rFonts w:ascii="Times New Roman" w:eastAsia="Times New Roman" w:hAnsi="Times New Roman" w:cs="Times New Roman"/>
          <w:sz w:val="24"/>
          <w:szCs w:val="24"/>
        </w:rPr>
        <w:t>тригліцериди</w:t>
      </w:r>
      <w:proofErr w:type="spellEnd"/>
      <w:r>
        <w:rPr>
          <w:rFonts w:ascii="Times New Roman" w:eastAsia="Times New Roman" w:hAnsi="Times New Roman" w:cs="Times New Roman"/>
          <w:sz w:val="24"/>
          <w:szCs w:val="24"/>
        </w:rPr>
        <w:t>, загальний холестерин, ліпопротеїди низької щільності (ЛПН</w:t>
      </w:r>
      <w:r>
        <w:rPr>
          <w:rFonts w:ascii="Times New Roman" w:eastAsia="Times New Roman" w:hAnsi="Times New Roman" w:cs="Times New Roman"/>
          <w:sz w:val="24"/>
          <w:szCs w:val="24"/>
        </w:rPr>
        <w:t>Щ), ліпопротеїди високої щільності (ЛПВЩ) в сироватці крові;</w:t>
      </w:r>
    </w:p>
    <w:p w14:paraId="000001B3"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коагуляційний</w:t>
      </w:r>
      <w:proofErr w:type="spellEnd"/>
      <w:r>
        <w:rPr>
          <w:rFonts w:ascii="Times New Roman" w:eastAsia="Times New Roman" w:hAnsi="Times New Roman" w:cs="Times New Roman"/>
          <w:sz w:val="24"/>
          <w:szCs w:val="24"/>
        </w:rPr>
        <w:t xml:space="preserve"> гемостаз (фібриноген, </w:t>
      </w:r>
      <w:proofErr w:type="spellStart"/>
      <w:r>
        <w:rPr>
          <w:rFonts w:ascii="Times New Roman" w:eastAsia="Times New Roman" w:hAnsi="Times New Roman" w:cs="Times New Roman"/>
          <w:sz w:val="24"/>
          <w:szCs w:val="24"/>
        </w:rPr>
        <w:t>тромбіновий</w:t>
      </w:r>
      <w:proofErr w:type="spellEnd"/>
      <w:r>
        <w:rPr>
          <w:rFonts w:ascii="Times New Roman" w:eastAsia="Times New Roman" w:hAnsi="Times New Roman" w:cs="Times New Roman"/>
          <w:sz w:val="24"/>
          <w:szCs w:val="24"/>
        </w:rPr>
        <w:t xml:space="preserve"> час, активований частковий (парціальний) </w:t>
      </w:r>
      <w:proofErr w:type="spellStart"/>
      <w:r>
        <w:rPr>
          <w:rFonts w:ascii="Times New Roman" w:eastAsia="Times New Roman" w:hAnsi="Times New Roman" w:cs="Times New Roman"/>
          <w:sz w:val="24"/>
          <w:szCs w:val="24"/>
        </w:rPr>
        <w:t>тромбопластиновий</w:t>
      </w:r>
      <w:proofErr w:type="spellEnd"/>
      <w:r>
        <w:rPr>
          <w:rFonts w:ascii="Times New Roman" w:eastAsia="Times New Roman" w:hAnsi="Times New Roman" w:cs="Times New Roman"/>
          <w:sz w:val="24"/>
          <w:szCs w:val="24"/>
        </w:rPr>
        <w:t xml:space="preserve"> час (АЧТЧ, АПТЧ), міжнародне нормалізоване відношення (МНВ), D-</w:t>
      </w:r>
      <w:proofErr w:type="spellStart"/>
      <w:r>
        <w:rPr>
          <w:rFonts w:ascii="Times New Roman" w:eastAsia="Times New Roman" w:hAnsi="Times New Roman" w:cs="Times New Roman"/>
          <w:sz w:val="24"/>
          <w:szCs w:val="24"/>
        </w:rPr>
        <w:t>димер</w:t>
      </w:r>
      <w:proofErr w:type="spellEnd"/>
      <w:r>
        <w:rPr>
          <w:rFonts w:ascii="Times New Roman" w:eastAsia="Times New Roman" w:hAnsi="Times New Roman" w:cs="Times New Roman"/>
          <w:sz w:val="24"/>
          <w:szCs w:val="24"/>
        </w:rPr>
        <w:t xml:space="preserve"> (у цілодо</w:t>
      </w:r>
      <w:r>
        <w:rPr>
          <w:rFonts w:ascii="Times New Roman" w:eastAsia="Times New Roman" w:hAnsi="Times New Roman" w:cs="Times New Roman"/>
          <w:sz w:val="24"/>
          <w:szCs w:val="24"/>
        </w:rPr>
        <w:t xml:space="preserve">бовому режимі), </w:t>
      </w:r>
      <w:proofErr w:type="spellStart"/>
      <w:r>
        <w:rPr>
          <w:rFonts w:ascii="Times New Roman" w:eastAsia="Times New Roman" w:hAnsi="Times New Roman" w:cs="Times New Roman"/>
          <w:sz w:val="24"/>
          <w:szCs w:val="24"/>
        </w:rPr>
        <w:t>антитромбін</w:t>
      </w:r>
      <w:proofErr w:type="spellEnd"/>
      <w:r>
        <w:rPr>
          <w:rFonts w:ascii="Times New Roman" w:eastAsia="Times New Roman" w:hAnsi="Times New Roman" w:cs="Times New Roman"/>
          <w:sz w:val="24"/>
          <w:szCs w:val="24"/>
        </w:rPr>
        <w:t xml:space="preserve"> ІІІ, </w:t>
      </w:r>
      <w:proofErr w:type="spellStart"/>
      <w:r>
        <w:rPr>
          <w:rFonts w:ascii="Times New Roman" w:eastAsia="Times New Roman" w:hAnsi="Times New Roman" w:cs="Times New Roman"/>
          <w:sz w:val="24"/>
          <w:szCs w:val="24"/>
        </w:rPr>
        <w:t>тромбоеластометрія</w:t>
      </w:r>
      <w:proofErr w:type="spellEnd"/>
      <w:r>
        <w:rPr>
          <w:rFonts w:ascii="Times New Roman" w:eastAsia="Times New Roman" w:hAnsi="Times New Roman" w:cs="Times New Roman"/>
          <w:sz w:val="24"/>
          <w:szCs w:val="24"/>
        </w:rPr>
        <w:t>;</w:t>
      </w:r>
    </w:p>
    <w:p w14:paraId="000001B4"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білкових фракцій методом електрофорезу (кількість М-протеїну) та </w:t>
      </w:r>
      <w:proofErr w:type="spellStart"/>
      <w:r>
        <w:rPr>
          <w:rFonts w:ascii="Times New Roman" w:eastAsia="Times New Roman" w:hAnsi="Times New Roman" w:cs="Times New Roman"/>
          <w:sz w:val="24"/>
          <w:szCs w:val="24"/>
        </w:rPr>
        <w:t>імунофіксація</w:t>
      </w:r>
      <w:proofErr w:type="spellEnd"/>
      <w:r>
        <w:rPr>
          <w:rFonts w:ascii="Times New Roman" w:eastAsia="Times New Roman" w:hAnsi="Times New Roman" w:cs="Times New Roman"/>
          <w:sz w:val="24"/>
          <w:szCs w:val="24"/>
        </w:rPr>
        <w:t xml:space="preserve"> білків сироватки крові та сечі (виявлення важких ланцюгів імуноглобуліну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легких вільних</w:t>
      </w:r>
      <w:r>
        <w:rPr>
          <w:rFonts w:ascii="Times New Roman" w:eastAsia="Times New Roman" w:hAnsi="Times New Roman" w:cs="Times New Roman"/>
          <w:sz w:val="24"/>
          <w:szCs w:val="24"/>
        </w:rPr>
        <w:t xml:space="preserve"> ланцюгів каппа та лямбда);</w:t>
      </w:r>
    </w:p>
    <w:p w14:paraId="000001B5"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рівня та типу нормальних </w:t>
      </w:r>
      <w:proofErr w:type="spellStart"/>
      <w:r>
        <w:rPr>
          <w:rFonts w:ascii="Times New Roman" w:eastAsia="Times New Roman" w:hAnsi="Times New Roman" w:cs="Times New Roman"/>
          <w:sz w:val="24"/>
          <w:szCs w:val="24"/>
        </w:rPr>
        <w:t>імуноглобулінів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IgE</w:t>
      </w:r>
      <w:proofErr w:type="spellEnd"/>
      <w:r>
        <w:rPr>
          <w:rFonts w:ascii="Times New Roman" w:eastAsia="Times New Roman" w:hAnsi="Times New Roman" w:cs="Times New Roman"/>
          <w:sz w:val="24"/>
          <w:szCs w:val="24"/>
        </w:rPr>
        <w:t xml:space="preserve"> в сироватці крові;</w:t>
      </w:r>
    </w:p>
    <w:p w14:paraId="000001B6"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цитоморфологічне</w:t>
      </w:r>
      <w:proofErr w:type="spellEnd"/>
      <w:r>
        <w:rPr>
          <w:rFonts w:ascii="Times New Roman" w:eastAsia="Times New Roman" w:hAnsi="Times New Roman" w:cs="Times New Roman"/>
          <w:sz w:val="24"/>
          <w:szCs w:val="24"/>
        </w:rPr>
        <w:t xml:space="preserve"> дослідження спинномозкової рідини з використанням методу рідинної цитології, біохімічне дослідження спи</w:t>
      </w:r>
      <w:r>
        <w:rPr>
          <w:rFonts w:ascii="Times New Roman" w:eastAsia="Times New Roman" w:hAnsi="Times New Roman" w:cs="Times New Roman"/>
          <w:sz w:val="24"/>
          <w:szCs w:val="24"/>
        </w:rPr>
        <w:t>нномозкової рідини;</w:t>
      </w:r>
    </w:p>
    <w:p w14:paraId="000001B7"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аналіз сечі: загальний, за Нечипоренко, за </w:t>
      </w:r>
      <w:proofErr w:type="spellStart"/>
      <w:r>
        <w:rPr>
          <w:rFonts w:ascii="Times New Roman" w:eastAsia="Times New Roman" w:hAnsi="Times New Roman" w:cs="Times New Roman"/>
          <w:sz w:val="24"/>
          <w:szCs w:val="24"/>
        </w:rPr>
        <w:t>Зимницьким</w:t>
      </w:r>
      <w:proofErr w:type="spellEnd"/>
      <w:r>
        <w:rPr>
          <w:rFonts w:ascii="Times New Roman" w:eastAsia="Times New Roman" w:hAnsi="Times New Roman" w:cs="Times New Roman"/>
          <w:sz w:val="24"/>
          <w:szCs w:val="24"/>
        </w:rPr>
        <w:t xml:space="preserve">, на добову </w:t>
      </w:r>
      <w:proofErr w:type="spellStart"/>
      <w:r>
        <w:rPr>
          <w:rFonts w:ascii="Times New Roman" w:eastAsia="Times New Roman" w:hAnsi="Times New Roman" w:cs="Times New Roman"/>
          <w:sz w:val="24"/>
          <w:szCs w:val="24"/>
        </w:rPr>
        <w:t>мікроальбумінурію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креатинінурію</w:t>
      </w:r>
      <w:proofErr w:type="spellEnd"/>
      <w:r>
        <w:rPr>
          <w:rFonts w:ascii="Times New Roman" w:eastAsia="Times New Roman" w:hAnsi="Times New Roman" w:cs="Times New Roman"/>
          <w:sz w:val="24"/>
          <w:szCs w:val="24"/>
        </w:rPr>
        <w:t>;</w:t>
      </w:r>
    </w:p>
    <w:p w14:paraId="000001B8"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рівня білка у добовій сечі та білку </w:t>
      </w:r>
      <w:proofErr w:type="spellStart"/>
      <w:r>
        <w:rPr>
          <w:rFonts w:ascii="Times New Roman" w:eastAsia="Times New Roman" w:hAnsi="Times New Roman" w:cs="Times New Roman"/>
          <w:sz w:val="24"/>
          <w:szCs w:val="24"/>
        </w:rPr>
        <w:t>Бенс</w:t>
      </w:r>
      <w:proofErr w:type="spellEnd"/>
      <w:r>
        <w:rPr>
          <w:rFonts w:ascii="Times New Roman" w:eastAsia="Times New Roman" w:hAnsi="Times New Roman" w:cs="Times New Roman"/>
          <w:sz w:val="24"/>
          <w:szCs w:val="24"/>
        </w:rPr>
        <w:t>-Джонса;</w:t>
      </w:r>
    </w:p>
    <w:p w14:paraId="000001B9"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проточна </w:t>
      </w:r>
      <w:proofErr w:type="spellStart"/>
      <w:r>
        <w:rPr>
          <w:rFonts w:ascii="Times New Roman" w:eastAsia="Times New Roman" w:hAnsi="Times New Roman" w:cs="Times New Roman"/>
          <w:sz w:val="24"/>
          <w:szCs w:val="24"/>
        </w:rPr>
        <w:t>цитофлуориметрія</w:t>
      </w:r>
      <w:proofErr w:type="spellEnd"/>
      <w:r>
        <w:rPr>
          <w:rFonts w:ascii="Times New Roman" w:eastAsia="Times New Roman" w:hAnsi="Times New Roman" w:cs="Times New Roman"/>
          <w:sz w:val="24"/>
          <w:szCs w:val="24"/>
        </w:rPr>
        <w:t xml:space="preserve"> аспіратів кісткового</w:t>
      </w:r>
      <w:r>
        <w:rPr>
          <w:rFonts w:ascii="Times New Roman" w:eastAsia="Times New Roman" w:hAnsi="Times New Roman" w:cs="Times New Roman"/>
          <w:sz w:val="24"/>
          <w:szCs w:val="24"/>
        </w:rPr>
        <w:t xml:space="preserve"> мозку та/або клітин периферичної крові, підрахунок </w:t>
      </w:r>
      <w:proofErr w:type="spellStart"/>
      <w:r>
        <w:rPr>
          <w:rFonts w:ascii="Times New Roman" w:eastAsia="Times New Roman" w:hAnsi="Times New Roman" w:cs="Times New Roman"/>
          <w:sz w:val="24"/>
          <w:szCs w:val="24"/>
        </w:rPr>
        <w:t>субопопуляцій</w:t>
      </w:r>
      <w:proofErr w:type="spellEnd"/>
      <w:r>
        <w:rPr>
          <w:rFonts w:ascii="Times New Roman" w:eastAsia="Times New Roman" w:hAnsi="Times New Roman" w:cs="Times New Roman"/>
          <w:sz w:val="24"/>
          <w:szCs w:val="24"/>
        </w:rPr>
        <w:t xml:space="preserve"> лімфоцитів методом проточної </w:t>
      </w:r>
      <w:proofErr w:type="spellStart"/>
      <w:r>
        <w:rPr>
          <w:rFonts w:ascii="Times New Roman" w:eastAsia="Times New Roman" w:hAnsi="Times New Roman" w:cs="Times New Roman"/>
          <w:sz w:val="24"/>
          <w:szCs w:val="24"/>
        </w:rPr>
        <w:t>цитофлуорметрії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імунограма</w:t>
      </w:r>
      <w:proofErr w:type="spellEnd"/>
      <w:r>
        <w:rPr>
          <w:rFonts w:ascii="Times New Roman" w:eastAsia="Times New Roman" w:hAnsi="Times New Roman" w:cs="Times New Roman"/>
          <w:sz w:val="24"/>
          <w:szCs w:val="24"/>
        </w:rPr>
        <w:t>);</w:t>
      </w:r>
    </w:p>
    <w:p w14:paraId="000001BA"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цитохімічне та </w:t>
      </w:r>
      <w:proofErr w:type="spellStart"/>
      <w:r>
        <w:rPr>
          <w:rFonts w:ascii="Times New Roman" w:eastAsia="Times New Roman" w:hAnsi="Times New Roman" w:cs="Times New Roman"/>
          <w:sz w:val="24"/>
          <w:szCs w:val="24"/>
        </w:rPr>
        <w:t>цитоморфологічне</w:t>
      </w:r>
      <w:proofErr w:type="spellEnd"/>
      <w:r>
        <w:rPr>
          <w:rFonts w:ascii="Times New Roman" w:eastAsia="Times New Roman" w:hAnsi="Times New Roman" w:cs="Times New Roman"/>
          <w:sz w:val="24"/>
          <w:szCs w:val="24"/>
        </w:rPr>
        <w:t xml:space="preserve"> дослідження аспірату кісткового мозку з диференційованим підрахунком (</w:t>
      </w:r>
      <w:proofErr w:type="spellStart"/>
      <w:r>
        <w:rPr>
          <w:rFonts w:ascii="Times New Roman" w:eastAsia="Times New Roman" w:hAnsi="Times New Roman" w:cs="Times New Roman"/>
          <w:sz w:val="24"/>
          <w:szCs w:val="24"/>
        </w:rPr>
        <w:t>мієлограма</w:t>
      </w:r>
      <w:proofErr w:type="spellEnd"/>
      <w:r>
        <w:rPr>
          <w:rFonts w:ascii="Times New Roman" w:eastAsia="Times New Roman" w:hAnsi="Times New Roman" w:cs="Times New Roman"/>
          <w:sz w:val="24"/>
          <w:szCs w:val="24"/>
        </w:rPr>
        <w:t>);</w:t>
      </w:r>
    </w:p>
    <w:p w14:paraId="000001BB"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молекулярно-генетичні дослідження клітин кісткового мозку, клітин периферичної крові та іншого біологічного матеріалу, цитогенетичні дослідження (методом FISH, </w:t>
      </w:r>
      <w:proofErr w:type="spellStart"/>
      <w:r>
        <w:rPr>
          <w:rFonts w:ascii="Times New Roman" w:eastAsia="Times New Roman" w:hAnsi="Times New Roman" w:cs="Times New Roman"/>
          <w:sz w:val="24"/>
          <w:szCs w:val="24"/>
        </w:rPr>
        <w:t>каріотипування</w:t>
      </w:r>
      <w:proofErr w:type="spellEnd"/>
      <w:r>
        <w:rPr>
          <w:rFonts w:ascii="Times New Roman" w:eastAsia="Times New Roman" w:hAnsi="Times New Roman" w:cs="Times New Roman"/>
          <w:sz w:val="24"/>
          <w:szCs w:val="24"/>
        </w:rPr>
        <w:t>);</w:t>
      </w:r>
    </w:p>
    <w:p w14:paraId="000001BC"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патоморфологічні</w:t>
      </w:r>
      <w:proofErr w:type="spellEnd"/>
      <w:r>
        <w:rPr>
          <w:rFonts w:ascii="Times New Roman" w:eastAsia="Times New Roman" w:hAnsi="Times New Roman" w:cs="Times New Roman"/>
          <w:sz w:val="24"/>
          <w:szCs w:val="24"/>
        </w:rPr>
        <w:t xml:space="preserve"> дослідження (гістологічне, </w:t>
      </w:r>
      <w:proofErr w:type="spellStart"/>
      <w:r>
        <w:rPr>
          <w:rFonts w:ascii="Times New Roman" w:eastAsia="Times New Roman" w:hAnsi="Times New Roman" w:cs="Times New Roman"/>
          <w:sz w:val="24"/>
          <w:szCs w:val="24"/>
        </w:rPr>
        <w:t>імуногістохімічне</w:t>
      </w:r>
      <w:proofErr w:type="spellEnd"/>
      <w:r>
        <w:rPr>
          <w:rFonts w:ascii="Times New Roman" w:eastAsia="Times New Roman" w:hAnsi="Times New Roman" w:cs="Times New Roman"/>
          <w:sz w:val="24"/>
          <w:szCs w:val="24"/>
        </w:rPr>
        <w:t xml:space="preserve"> дослід</w:t>
      </w:r>
      <w:r>
        <w:rPr>
          <w:rFonts w:ascii="Times New Roman" w:eastAsia="Times New Roman" w:hAnsi="Times New Roman" w:cs="Times New Roman"/>
          <w:sz w:val="24"/>
          <w:szCs w:val="24"/>
        </w:rPr>
        <w:t xml:space="preserve">ження </w:t>
      </w:r>
      <w:proofErr w:type="spellStart"/>
      <w:r>
        <w:rPr>
          <w:rFonts w:ascii="Times New Roman" w:eastAsia="Times New Roman" w:hAnsi="Times New Roman" w:cs="Times New Roman"/>
          <w:sz w:val="24"/>
          <w:szCs w:val="24"/>
        </w:rPr>
        <w:t>біоптатів</w:t>
      </w:r>
      <w:proofErr w:type="spellEnd"/>
      <w:r>
        <w:rPr>
          <w:rFonts w:ascii="Times New Roman" w:eastAsia="Times New Roman" w:hAnsi="Times New Roman" w:cs="Times New Roman"/>
          <w:sz w:val="24"/>
          <w:szCs w:val="24"/>
        </w:rPr>
        <w:t xml:space="preserve"> пухлини та </w:t>
      </w:r>
      <w:proofErr w:type="spellStart"/>
      <w:r>
        <w:rPr>
          <w:rFonts w:ascii="Times New Roman" w:eastAsia="Times New Roman" w:hAnsi="Times New Roman" w:cs="Times New Roman"/>
          <w:sz w:val="24"/>
          <w:szCs w:val="24"/>
        </w:rPr>
        <w:t>трепанбіоптатів</w:t>
      </w:r>
      <w:proofErr w:type="spellEnd"/>
      <w:r>
        <w:rPr>
          <w:rFonts w:ascii="Times New Roman" w:eastAsia="Times New Roman" w:hAnsi="Times New Roman" w:cs="Times New Roman"/>
          <w:sz w:val="24"/>
          <w:szCs w:val="24"/>
        </w:rPr>
        <w:t xml:space="preserve"> кісткового мозку);</w:t>
      </w:r>
    </w:p>
    <w:p w14:paraId="000001BD" w14:textId="77777777" w:rsidR="005B5750" w:rsidRDefault="00E241CC">
      <w:pPr>
        <w:shd w:val="clear" w:color="auto" w:fill="FFFFFF"/>
        <w:spacing w:after="0" w:line="276" w:lineRule="auto"/>
        <w:ind w:left="84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цитологічні дослідження, в тому числі </w:t>
      </w:r>
      <w:proofErr w:type="spellStart"/>
      <w:r>
        <w:rPr>
          <w:rFonts w:ascii="Times New Roman" w:eastAsia="Times New Roman" w:hAnsi="Times New Roman" w:cs="Times New Roman"/>
          <w:sz w:val="24"/>
          <w:szCs w:val="24"/>
        </w:rPr>
        <w:t>цитоцентрифугатів</w:t>
      </w:r>
      <w:proofErr w:type="spellEnd"/>
      <w:r>
        <w:rPr>
          <w:rFonts w:ascii="Times New Roman" w:eastAsia="Times New Roman" w:hAnsi="Times New Roman" w:cs="Times New Roman"/>
          <w:sz w:val="24"/>
          <w:szCs w:val="24"/>
        </w:rPr>
        <w:t xml:space="preserve"> біологічних рідин;</w:t>
      </w:r>
    </w:p>
    <w:p w14:paraId="000001BE" w14:textId="77777777" w:rsidR="005B5750" w:rsidRDefault="00E241CC">
      <w:pPr>
        <w:shd w:val="clear" w:color="auto" w:fill="FFFFFF"/>
        <w:spacing w:after="0" w:line="276" w:lineRule="auto"/>
        <w:ind w:left="70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імуногенетичного</w:t>
      </w:r>
      <w:proofErr w:type="spellEnd"/>
      <w:r>
        <w:rPr>
          <w:rFonts w:ascii="Times New Roman" w:eastAsia="Times New Roman" w:hAnsi="Times New Roman" w:cs="Times New Roman"/>
          <w:sz w:val="24"/>
          <w:szCs w:val="24"/>
        </w:rPr>
        <w:t xml:space="preserve"> скринінгу –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w:t>
      </w:r>
    </w:p>
    <w:p w14:paraId="000001BF"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resolution</w:t>
      </w:r>
      <w:proofErr w:type="spellEnd"/>
      <w:r>
        <w:rPr>
          <w:rFonts w:ascii="Times New Roman" w:eastAsia="Times New Roman" w:hAnsi="Times New Roman" w:cs="Times New Roman"/>
          <w:sz w:val="24"/>
          <w:szCs w:val="24"/>
        </w:rPr>
        <w:t xml:space="preserve"> HLA-</w:t>
      </w:r>
      <w:proofErr w:type="spellStart"/>
      <w:r>
        <w:rPr>
          <w:rFonts w:ascii="Times New Roman" w:eastAsia="Times New Roman" w:hAnsi="Times New Roman" w:cs="Times New Roman"/>
          <w:sz w:val="24"/>
          <w:szCs w:val="24"/>
        </w:rPr>
        <w:t>типуваня</w:t>
      </w:r>
      <w:proofErr w:type="spellEnd"/>
      <w:r>
        <w:rPr>
          <w:rFonts w:ascii="Times New Roman" w:eastAsia="Times New Roman" w:hAnsi="Times New Roman" w:cs="Times New Roman"/>
          <w:sz w:val="24"/>
          <w:szCs w:val="24"/>
        </w:rPr>
        <w:t xml:space="preserve"> методом SBT (метод RT-PCR) або методом NGS;</w:t>
      </w:r>
    </w:p>
    <w:p w14:paraId="000001C0"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комплементзалежного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лімфоцитотоксичного</w:t>
      </w:r>
      <w:proofErr w:type="spellEnd"/>
      <w:r>
        <w:rPr>
          <w:rFonts w:ascii="Times New Roman" w:eastAsia="Times New Roman" w:hAnsi="Times New Roman" w:cs="Times New Roman"/>
          <w:sz w:val="24"/>
          <w:szCs w:val="24"/>
        </w:rPr>
        <w:t xml:space="preserve"> тесту з лімфоцитами донора;</w:t>
      </w:r>
    </w:p>
    <w:p w14:paraId="000001C1"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наявності </w:t>
      </w:r>
      <w:proofErr w:type="spellStart"/>
      <w:r>
        <w:rPr>
          <w:rFonts w:ascii="Times New Roman" w:eastAsia="Times New Roman" w:hAnsi="Times New Roman" w:cs="Times New Roman"/>
          <w:sz w:val="24"/>
          <w:szCs w:val="24"/>
        </w:rPr>
        <w:t>донорспецифічних</w:t>
      </w:r>
      <w:proofErr w:type="spellEnd"/>
      <w:r>
        <w:rPr>
          <w:rFonts w:ascii="Times New Roman" w:eastAsia="Times New Roman" w:hAnsi="Times New Roman" w:cs="Times New Roman"/>
          <w:sz w:val="24"/>
          <w:szCs w:val="24"/>
        </w:rPr>
        <w:t xml:space="preserve"> HLA-антитіл (DSA).</w:t>
      </w:r>
    </w:p>
    <w:p w14:paraId="000001C2"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дослідження </w:t>
      </w:r>
      <w:proofErr w:type="spellStart"/>
      <w:r>
        <w:rPr>
          <w:rFonts w:ascii="Times New Roman" w:eastAsia="Times New Roman" w:hAnsi="Times New Roman" w:cs="Times New Roman"/>
          <w:sz w:val="24"/>
          <w:szCs w:val="24"/>
        </w:rPr>
        <w:t>моноклональних</w:t>
      </w:r>
      <w:proofErr w:type="spellEnd"/>
      <w:r>
        <w:rPr>
          <w:rFonts w:ascii="Times New Roman" w:eastAsia="Times New Roman" w:hAnsi="Times New Roman" w:cs="Times New Roman"/>
          <w:sz w:val="24"/>
          <w:szCs w:val="24"/>
        </w:rPr>
        <w:t xml:space="preserve"> антитіл у сироватці крові;</w:t>
      </w:r>
    </w:p>
    <w:p w14:paraId="000001C3"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концентрації лікарських засобів для </w:t>
      </w:r>
      <w:proofErr w:type="spellStart"/>
      <w:r>
        <w:rPr>
          <w:rFonts w:ascii="Times New Roman" w:eastAsia="Times New Roman" w:hAnsi="Times New Roman" w:cs="Times New Roman"/>
          <w:sz w:val="24"/>
          <w:szCs w:val="24"/>
        </w:rPr>
        <w:t>імуносупресії</w:t>
      </w:r>
      <w:proofErr w:type="spellEnd"/>
      <w:r>
        <w:rPr>
          <w:rFonts w:ascii="Times New Roman" w:eastAsia="Times New Roman" w:hAnsi="Times New Roman" w:cs="Times New Roman"/>
          <w:sz w:val="24"/>
          <w:szCs w:val="24"/>
        </w:rPr>
        <w:t xml:space="preserve"> в крові, зокрема </w:t>
      </w:r>
      <w:proofErr w:type="spellStart"/>
      <w:r>
        <w:rPr>
          <w:rFonts w:ascii="Times New Roman" w:eastAsia="Times New Roman" w:hAnsi="Times New Roman" w:cs="Times New Roman"/>
          <w:sz w:val="24"/>
          <w:szCs w:val="24"/>
        </w:rPr>
        <w:t>циклоспорину</w:t>
      </w:r>
      <w:proofErr w:type="spellEnd"/>
      <w:r>
        <w:rPr>
          <w:rFonts w:ascii="Times New Roman" w:eastAsia="Times New Roman" w:hAnsi="Times New Roman" w:cs="Times New Roman"/>
          <w:sz w:val="24"/>
          <w:szCs w:val="24"/>
        </w:rPr>
        <w:t xml:space="preserve"> А та </w:t>
      </w:r>
      <w:proofErr w:type="spellStart"/>
      <w:r>
        <w:rPr>
          <w:rFonts w:ascii="Times New Roman" w:eastAsia="Times New Roman" w:hAnsi="Times New Roman" w:cs="Times New Roman"/>
          <w:sz w:val="24"/>
          <w:szCs w:val="24"/>
        </w:rPr>
        <w:t>такролімусу</w:t>
      </w:r>
      <w:proofErr w:type="spellEnd"/>
      <w:r>
        <w:rPr>
          <w:rFonts w:ascii="Times New Roman" w:eastAsia="Times New Roman" w:hAnsi="Times New Roman" w:cs="Times New Roman"/>
          <w:sz w:val="24"/>
          <w:szCs w:val="24"/>
        </w:rPr>
        <w:t>;</w:t>
      </w:r>
    </w:p>
    <w:p w14:paraId="000001C4"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обстежень на виявлення </w:t>
      </w:r>
      <w:r>
        <w:rPr>
          <w:rFonts w:ascii="Times New Roman" w:eastAsia="Times New Roman" w:hAnsi="Times New Roman" w:cs="Times New Roman"/>
          <w:sz w:val="24"/>
          <w:szCs w:val="24"/>
        </w:rPr>
        <w:t>зокрема:</w:t>
      </w:r>
    </w:p>
    <w:p w14:paraId="000001C5"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ВІЛ-інфекції: антиген, зокрема антиген р24 та сумарні  антитіла до HIV 1 та 2 типів, РНК HIV (методом ПЛР, кількісний метод)</w:t>
      </w:r>
    </w:p>
    <w:p w14:paraId="000001C6"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гепатиту В: </w:t>
      </w:r>
      <w:proofErr w:type="spellStart"/>
      <w:r>
        <w:rPr>
          <w:rFonts w:ascii="Times New Roman" w:eastAsia="Times New Roman" w:hAnsi="Times New Roman" w:cs="Times New Roman"/>
          <w:sz w:val="24"/>
          <w:szCs w:val="24"/>
        </w:rPr>
        <w:t>HBsAg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anti-HBcor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anti-HBs</w:t>
      </w:r>
      <w:proofErr w:type="spellEnd"/>
      <w:r>
        <w:rPr>
          <w:rFonts w:ascii="Times New Roman" w:eastAsia="Times New Roman" w:hAnsi="Times New Roman" w:cs="Times New Roman"/>
          <w:sz w:val="24"/>
          <w:szCs w:val="24"/>
        </w:rPr>
        <w:t>. ДНК HBV (ПЛР, кількіс</w:t>
      </w:r>
      <w:r>
        <w:rPr>
          <w:rFonts w:ascii="Times New Roman" w:eastAsia="Times New Roman" w:hAnsi="Times New Roman" w:cs="Times New Roman"/>
          <w:sz w:val="24"/>
          <w:szCs w:val="24"/>
        </w:rPr>
        <w:t>ний метод);</w:t>
      </w:r>
    </w:p>
    <w:p w14:paraId="000001C7"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гепатиту С: сумарні антитіла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 xml:space="preserve">-HCV). РНК HCV (ПЛР, кількісний метод),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C8"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гепатиту Е: імуноглобулін G;</w:t>
      </w:r>
    </w:p>
    <w:p w14:paraId="000001C9"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цитомегаловірусної</w:t>
      </w:r>
      <w:proofErr w:type="spellEnd"/>
      <w:r>
        <w:rPr>
          <w:rFonts w:ascii="Times New Roman" w:eastAsia="Times New Roman" w:hAnsi="Times New Roman" w:cs="Times New Roman"/>
          <w:sz w:val="24"/>
          <w:szCs w:val="24"/>
        </w:rPr>
        <w:t xml:space="preserve"> інфекції: ДНК вір</w:t>
      </w:r>
      <w:r>
        <w:rPr>
          <w:rFonts w:ascii="Times New Roman" w:eastAsia="Times New Roman" w:hAnsi="Times New Roman" w:cs="Times New Roman"/>
          <w:sz w:val="24"/>
          <w:szCs w:val="24"/>
        </w:rPr>
        <w:t xml:space="preserve">усу (ПЛР, кількісний метод),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CA"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Епштейн-Барра</w:t>
      </w:r>
      <w:proofErr w:type="spellEnd"/>
      <w:r>
        <w:rPr>
          <w:rFonts w:ascii="Times New Roman" w:eastAsia="Times New Roman" w:hAnsi="Times New Roman" w:cs="Times New Roman"/>
          <w:sz w:val="24"/>
          <w:szCs w:val="24"/>
        </w:rPr>
        <w:t xml:space="preserve">: ДНК вірусу (ПЛР, кількісний метод),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CB"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сифілісу;</w:t>
      </w:r>
    </w:p>
    <w:p w14:paraId="000001CC"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токсоплазмозу: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CD"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ix.</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Т-клітинного </w:t>
      </w:r>
      <w:proofErr w:type="spellStart"/>
      <w:r>
        <w:rPr>
          <w:rFonts w:ascii="Times New Roman" w:eastAsia="Times New Roman" w:hAnsi="Times New Roman" w:cs="Times New Roman"/>
          <w:sz w:val="24"/>
          <w:szCs w:val="24"/>
        </w:rPr>
        <w:t>лімфотропного</w:t>
      </w:r>
      <w:proofErr w:type="spellEnd"/>
      <w:r>
        <w:rPr>
          <w:rFonts w:ascii="Times New Roman" w:eastAsia="Times New Roman" w:hAnsi="Times New Roman" w:cs="Times New Roman"/>
          <w:sz w:val="24"/>
          <w:szCs w:val="24"/>
        </w:rPr>
        <w:t xml:space="preserve"> вірусу людини (HTLV 1⁄2 ):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CE"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вірус SARS-Cov2: РНК (методом ПЛР, кількісний метод);</w:t>
      </w:r>
    </w:p>
    <w:p w14:paraId="000001CF"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вірус простого герпесу (HSV) 1 та 2 типів, 3 типу (</w:t>
      </w:r>
      <w:proofErr w:type="spellStart"/>
      <w:r>
        <w:rPr>
          <w:rFonts w:ascii="Times New Roman" w:eastAsia="Times New Roman" w:hAnsi="Times New Roman" w:cs="Times New Roman"/>
          <w:sz w:val="24"/>
          <w:szCs w:val="24"/>
        </w:rPr>
        <w:t>Varicella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Zoster</w:t>
      </w:r>
      <w:proofErr w:type="spellEnd"/>
      <w:r>
        <w:rPr>
          <w:rFonts w:ascii="Times New Roman" w:eastAsia="Times New Roman" w:hAnsi="Times New Roman" w:cs="Times New Roman"/>
          <w:sz w:val="24"/>
          <w:szCs w:val="24"/>
        </w:rPr>
        <w:t xml:space="preserve">), герпесу </w:t>
      </w:r>
      <w:r>
        <w:rPr>
          <w:rFonts w:ascii="Times New Roman" w:eastAsia="Times New Roman" w:hAnsi="Times New Roman" w:cs="Times New Roman"/>
          <w:sz w:val="24"/>
          <w:szCs w:val="24"/>
        </w:rPr>
        <w:t xml:space="preserve">6 типу (HHV 6): ДНК (методом ПЛР, кількісний метод),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D0"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xii.</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хламідії</w:t>
      </w:r>
      <w:proofErr w:type="spellEnd"/>
      <w:r>
        <w:rPr>
          <w:rFonts w:ascii="Times New Roman" w:eastAsia="Times New Roman" w:hAnsi="Times New Roman" w:cs="Times New Roman"/>
          <w:sz w:val="24"/>
          <w:szCs w:val="24"/>
        </w:rPr>
        <w:t xml:space="preserve">: ДНК (методом ПЛР),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D1"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xiii.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мікоплазми: ДНК (методом ПЛР), </w:t>
      </w:r>
      <w:proofErr w:type="spellStart"/>
      <w:r>
        <w:rPr>
          <w:rFonts w:ascii="Times New Roman" w:eastAsia="Times New Roman" w:hAnsi="Times New Roman" w:cs="Times New Roman"/>
          <w:sz w:val="24"/>
          <w:szCs w:val="24"/>
        </w:rPr>
        <w:t>IgM</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IgG</w:t>
      </w:r>
      <w:proofErr w:type="spellEnd"/>
      <w:r>
        <w:rPr>
          <w:rFonts w:ascii="Times New Roman" w:eastAsia="Times New Roman" w:hAnsi="Times New Roman" w:cs="Times New Roman"/>
          <w:sz w:val="24"/>
          <w:szCs w:val="24"/>
        </w:rPr>
        <w:t>;</w:t>
      </w:r>
    </w:p>
    <w:p w14:paraId="000001D2"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xiv.</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Clostridium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difficile</w:t>
      </w:r>
      <w:proofErr w:type="spellEnd"/>
      <w:r>
        <w:rPr>
          <w:rFonts w:ascii="Times New Roman" w:eastAsia="Times New Roman" w:hAnsi="Times New Roman" w:cs="Times New Roman"/>
          <w:sz w:val="24"/>
          <w:szCs w:val="24"/>
        </w:rPr>
        <w:t xml:space="preserve"> (методом ПЛР), виявлення токсинів </w:t>
      </w:r>
      <w:proofErr w:type="spellStart"/>
      <w:r>
        <w:rPr>
          <w:rFonts w:ascii="Times New Roman" w:eastAsia="Times New Roman" w:hAnsi="Times New Roman" w:cs="Times New Roman"/>
          <w:sz w:val="24"/>
          <w:szCs w:val="24"/>
        </w:rPr>
        <w:t>Clostridium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difficile</w:t>
      </w:r>
      <w:proofErr w:type="spellEnd"/>
      <w:r>
        <w:rPr>
          <w:rFonts w:ascii="Times New Roman" w:eastAsia="Times New Roman" w:hAnsi="Times New Roman" w:cs="Times New Roman"/>
          <w:sz w:val="24"/>
          <w:szCs w:val="24"/>
        </w:rPr>
        <w:t xml:space="preserve"> A/B у зразках випорожнень;</w:t>
      </w:r>
    </w:p>
    <w:p w14:paraId="000001D3" w14:textId="77777777" w:rsidR="005B5750" w:rsidRDefault="00E241CC">
      <w:pPr>
        <w:shd w:val="clear" w:color="auto" w:fill="FFFFFF"/>
        <w:spacing w:after="0" w:line="276" w:lineRule="auto"/>
        <w:ind w:left="1180" w:hanging="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xv.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BK - вірусу (BKV) у зразку сечі (ПЛР якісний та кількісний методи) –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w:t>
      </w:r>
    </w:p>
    <w:p w14:paraId="000001D4" w14:textId="77777777" w:rsidR="005B5750" w:rsidRDefault="00E241CC">
      <w:pPr>
        <w:shd w:val="clear" w:color="auto" w:fill="FFFFFF"/>
        <w:spacing w:after="0" w:line="276" w:lineRule="auto"/>
        <w:ind w:left="70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бактеріологічні та </w:t>
      </w:r>
      <w:proofErr w:type="spellStart"/>
      <w:r>
        <w:rPr>
          <w:rFonts w:ascii="Times New Roman" w:eastAsia="Times New Roman" w:hAnsi="Times New Roman" w:cs="Times New Roman"/>
          <w:sz w:val="24"/>
          <w:szCs w:val="24"/>
        </w:rPr>
        <w:t>б</w:t>
      </w:r>
      <w:r>
        <w:rPr>
          <w:rFonts w:ascii="Times New Roman" w:eastAsia="Times New Roman" w:hAnsi="Times New Roman" w:cs="Times New Roman"/>
          <w:sz w:val="24"/>
          <w:szCs w:val="24"/>
        </w:rPr>
        <w:t>актеріоскопічні</w:t>
      </w:r>
      <w:proofErr w:type="spellEnd"/>
      <w:r>
        <w:rPr>
          <w:rFonts w:ascii="Times New Roman" w:eastAsia="Times New Roman" w:hAnsi="Times New Roman" w:cs="Times New Roman"/>
          <w:sz w:val="24"/>
          <w:szCs w:val="24"/>
        </w:rPr>
        <w:t xml:space="preserve"> дослідження біологічних зразків з визначенням за потребою чутливості до антибактеріальних препаратів та/або протигрибкових препаратів;</w:t>
      </w:r>
    </w:p>
    <w:p w14:paraId="000001D5" w14:textId="77777777" w:rsidR="005B5750" w:rsidRDefault="00E241CC">
      <w:pPr>
        <w:shd w:val="clear" w:color="auto" w:fill="FFFFFF"/>
        <w:spacing w:after="0" w:line="276" w:lineRule="auto"/>
        <w:ind w:left="70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рівень бета-</w:t>
      </w:r>
      <w:proofErr w:type="spellStart"/>
      <w:r>
        <w:rPr>
          <w:rFonts w:ascii="Times New Roman" w:eastAsia="Times New Roman" w:hAnsi="Times New Roman" w:cs="Times New Roman"/>
          <w:sz w:val="24"/>
          <w:szCs w:val="24"/>
        </w:rPr>
        <w:t>хоріонічного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гонадотропіну</w:t>
      </w:r>
      <w:proofErr w:type="spellEnd"/>
      <w:r>
        <w:rPr>
          <w:rFonts w:ascii="Times New Roman" w:eastAsia="Times New Roman" w:hAnsi="Times New Roman" w:cs="Times New Roman"/>
          <w:sz w:val="24"/>
          <w:szCs w:val="24"/>
        </w:rPr>
        <w:t xml:space="preserve"> людини (β-ХГЛ) у сироватці у пацієнток репродуктивного віку(у</w:t>
      </w:r>
      <w:r>
        <w:rPr>
          <w:rFonts w:ascii="Times New Roman" w:eastAsia="Times New Roman" w:hAnsi="Times New Roman" w:cs="Times New Roman"/>
          <w:sz w:val="24"/>
          <w:szCs w:val="24"/>
        </w:rPr>
        <w:t xml:space="preserve"> ЗОЗ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1D6" w14:textId="77777777" w:rsidR="005B5750" w:rsidRDefault="00E241CC">
      <w:pPr>
        <w:shd w:val="clear" w:color="auto" w:fill="FFFFFF"/>
        <w:spacing w:after="0" w:line="276" w:lineRule="auto"/>
        <w:ind w:left="70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інші лабораторні дослідження відповідно до галузевих стандартів.</w:t>
      </w:r>
    </w:p>
    <w:p w14:paraId="000001D7"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Проведення інструментальних методів дослідження пацієнту/пацієнтці-реципієнту ГСК, зокрема:</w:t>
      </w:r>
    </w:p>
    <w:p w14:paraId="000001D8" w14:textId="77777777" w:rsidR="005B5750" w:rsidRDefault="00E241CC">
      <w:pPr>
        <w:shd w:val="clear" w:color="auto" w:fill="FFFFFF"/>
        <w:spacing w:after="0" w:line="276" w:lineRule="auto"/>
        <w:ind w:left="70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магнітно-резонансна томографія (в тому числі з внутрішньовенним контрастуванням) у ЗОЗ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1D9" w14:textId="77777777" w:rsidR="005B5750" w:rsidRDefault="00E241CC">
      <w:pPr>
        <w:shd w:val="clear" w:color="auto" w:fill="FFFFFF"/>
        <w:spacing w:after="0" w:line="276" w:lineRule="auto"/>
        <w:ind w:left="98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рентгенологічні дослідження, в тому числі комп’ютерна томографія (в тому числі з внутрішньовенним контрастуванням);</w:t>
      </w:r>
    </w:p>
    <w:p w14:paraId="000001DA" w14:textId="77777777" w:rsidR="005B5750" w:rsidRDefault="00E241CC">
      <w:pPr>
        <w:shd w:val="clear" w:color="auto" w:fill="FFFFFF"/>
        <w:spacing w:after="0" w:line="276" w:lineRule="auto"/>
        <w:ind w:left="98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енд</w:t>
      </w:r>
      <w:r>
        <w:rPr>
          <w:rFonts w:ascii="Times New Roman" w:eastAsia="Times New Roman" w:hAnsi="Times New Roman" w:cs="Times New Roman"/>
          <w:sz w:val="24"/>
          <w:szCs w:val="24"/>
        </w:rPr>
        <w:t>оскопічні дослідження;</w:t>
      </w:r>
    </w:p>
    <w:p w14:paraId="000001DB" w14:textId="77777777" w:rsidR="005B5750" w:rsidRDefault="00E241CC">
      <w:pPr>
        <w:shd w:val="clear" w:color="auto" w:fill="FFFFFF"/>
        <w:spacing w:after="0" w:line="276" w:lineRule="auto"/>
        <w:ind w:left="98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ультразвукові дослідження, </w:t>
      </w:r>
      <w:proofErr w:type="spellStart"/>
      <w:r>
        <w:rPr>
          <w:rFonts w:ascii="Times New Roman" w:eastAsia="Times New Roman" w:hAnsi="Times New Roman" w:cs="Times New Roman"/>
          <w:sz w:val="24"/>
          <w:szCs w:val="24"/>
        </w:rPr>
        <w:t>зокрема:УЗД</w:t>
      </w:r>
      <w:proofErr w:type="spellEnd"/>
      <w:r>
        <w:rPr>
          <w:rFonts w:ascii="Times New Roman" w:eastAsia="Times New Roman" w:hAnsi="Times New Roman" w:cs="Times New Roman"/>
          <w:sz w:val="24"/>
          <w:szCs w:val="24"/>
        </w:rPr>
        <w:t xml:space="preserve"> із проведенням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 УЗД печінки з еластографією тощо;</w:t>
      </w:r>
    </w:p>
    <w:p w14:paraId="000001DC" w14:textId="77777777" w:rsidR="005B5750" w:rsidRDefault="00E241CC">
      <w:pPr>
        <w:shd w:val="clear" w:color="auto" w:fill="FFFFFF"/>
        <w:spacing w:after="0" w:line="276" w:lineRule="auto"/>
        <w:ind w:left="98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функціональні дослідження, зокрема:</w:t>
      </w:r>
    </w:p>
    <w:p w14:paraId="000001DD" w14:textId="77777777" w:rsidR="005B5750" w:rsidRDefault="00E241CC">
      <w:pPr>
        <w:shd w:val="clear" w:color="auto" w:fill="FFFFFF"/>
        <w:spacing w:after="0" w:line="276" w:lineRule="auto"/>
        <w:ind w:left="2000" w:hanging="10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електрокардіографія (ЕКГ);</w:t>
      </w:r>
    </w:p>
    <w:p w14:paraId="000001DE" w14:textId="77777777" w:rsidR="005B5750" w:rsidRDefault="00E241CC">
      <w:pPr>
        <w:shd w:val="clear" w:color="auto" w:fill="FFFFFF"/>
        <w:spacing w:after="0" w:line="276" w:lineRule="auto"/>
        <w:ind w:left="2000" w:hanging="10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спірографія;</w:t>
      </w:r>
    </w:p>
    <w:p w14:paraId="000001DF"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інші інструментальні дослідження відповідно до галузевих стандартів.</w:t>
      </w:r>
    </w:p>
    <w:p w14:paraId="000001E0"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Огляд, консультування та оцінювання стану пацієнта/пацієнтки- донора ГСК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w:t>
      </w:r>
    </w:p>
    <w:p w14:paraId="000001E1"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Проведення необхідних лабораторних дослідже</w:t>
      </w:r>
      <w:r>
        <w:rPr>
          <w:rFonts w:ascii="Times New Roman" w:eastAsia="Times New Roman" w:hAnsi="Times New Roman" w:cs="Times New Roman"/>
          <w:sz w:val="24"/>
          <w:szCs w:val="24"/>
        </w:rPr>
        <w:t xml:space="preserve">нь </w:t>
      </w:r>
      <w:r>
        <w:rPr>
          <w:rFonts w:ascii="Times New Roman" w:eastAsia="Times New Roman" w:hAnsi="Times New Roman" w:cs="Times New Roman"/>
          <w:i/>
          <w:sz w:val="24"/>
          <w:szCs w:val="24"/>
        </w:rPr>
        <w:t>пацієнту/пацієнтці-донору ГСК</w:t>
      </w:r>
      <w:r>
        <w:rPr>
          <w:rFonts w:ascii="Times New Roman" w:eastAsia="Times New Roman" w:hAnsi="Times New Roman" w:cs="Times New Roman"/>
          <w:sz w:val="24"/>
          <w:szCs w:val="24"/>
        </w:rPr>
        <w:t xml:space="preserve">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 зокрема: </w:t>
      </w:r>
    </w:p>
    <w:p w14:paraId="000001E2"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групи крові і резус-фактора; </w:t>
      </w:r>
    </w:p>
    <w:p w14:paraId="000001E3"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загально-клінічних досліджень (розгорнутий клінічний аналіз крові; морфологічне дослідження клітин крові; загальний а</w:t>
      </w:r>
      <w:r>
        <w:rPr>
          <w:rFonts w:ascii="Times New Roman" w:eastAsia="Times New Roman" w:hAnsi="Times New Roman" w:cs="Times New Roman"/>
          <w:sz w:val="24"/>
          <w:szCs w:val="24"/>
        </w:rPr>
        <w:t>наліз сечі);</w:t>
      </w:r>
    </w:p>
    <w:p w14:paraId="000001E4"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біохімічних досліджень (загальний білок, </w:t>
      </w:r>
      <w:proofErr w:type="spellStart"/>
      <w:r>
        <w:rPr>
          <w:rFonts w:ascii="Times New Roman" w:eastAsia="Times New Roman" w:hAnsi="Times New Roman" w:cs="Times New Roman"/>
          <w:sz w:val="24"/>
          <w:szCs w:val="24"/>
        </w:rPr>
        <w:t>аспартатамінотрансфераза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аланінамінотрансфераза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АлАТ</w:t>
      </w:r>
      <w:proofErr w:type="spellEnd"/>
      <w:r>
        <w:rPr>
          <w:rFonts w:ascii="Times New Roman" w:eastAsia="Times New Roman" w:hAnsi="Times New Roman" w:cs="Times New Roman"/>
          <w:sz w:val="24"/>
          <w:szCs w:val="24"/>
        </w:rPr>
        <w:t>), білірубін і його фракції (загальний, прямий, непрямий), креатинін, сечовина, електроліти (натрій, калій, кальцій); глюкоза в цільн</w:t>
      </w:r>
      <w:r>
        <w:rPr>
          <w:rFonts w:ascii="Times New Roman" w:eastAsia="Times New Roman" w:hAnsi="Times New Roman" w:cs="Times New Roman"/>
          <w:sz w:val="24"/>
          <w:szCs w:val="24"/>
        </w:rPr>
        <w:t>ій крові або сироватці крові;</w:t>
      </w:r>
    </w:p>
    <w:p w14:paraId="000001E5"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показників </w:t>
      </w:r>
      <w:proofErr w:type="spellStart"/>
      <w:r>
        <w:rPr>
          <w:rFonts w:ascii="Times New Roman" w:eastAsia="Times New Roman" w:hAnsi="Times New Roman" w:cs="Times New Roman"/>
          <w:sz w:val="24"/>
          <w:szCs w:val="24"/>
        </w:rPr>
        <w:t>коагуляційного</w:t>
      </w:r>
      <w:proofErr w:type="spellEnd"/>
      <w:r>
        <w:rPr>
          <w:rFonts w:ascii="Times New Roman" w:eastAsia="Times New Roman" w:hAnsi="Times New Roman" w:cs="Times New Roman"/>
          <w:sz w:val="24"/>
          <w:szCs w:val="24"/>
        </w:rPr>
        <w:t xml:space="preserve"> гемостазу (</w:t>
      </w:r>
      <w:proofErr w:type="spellStart"/>
      <w:r>
        <w:rPr>
          <w:rFonts w:ascii="Times New Roman" w:eastAsia="Times New Roman" w:hAnsi="Times New Roman" w:cs="Times New Roman"/>
          <w:sz w:val="24"/>
          <w:szCs w:val="24"/>
        </w:rPr>
        <w:t>тромбіновий</w:t>
      </w:r>
      <w:proofErr w:type="spellEnd"/>
      <w:r>
        <w:rPr>
          <w:rFonts w:ascii="Times New Roman" w:eastAsia="Times New Roman" w:hAnsi="Times New Roman" w:cs="Times New Roman"/>
          <w:sz w:val="24"/>
          <w:szCs w:val="24"/>
        </w:rPr>
        <w:t xml:space="preserve"> час, активований частковий (парціальний) </w:t>
      </w:r>
      <w:proofErr w:type="spellStart"/>
      <w:r>
        <w:rPr>
          <w:rFonts w:ascii="Times New Roman" w:eastAsia="Times New Roman" w:hAnsi="Times New Roman" w:cs="Times New Roman"/>
          <w:sz w:val="24"/>
          <w:szCs w:val="24"/>
        </w:rPr>
        <w:t>тромбопластиновий</w:t>
      </w:r>
      <w:proofErr w:type="spellEnd"/>
      <w:r>
        <w:rPr>
          <w:rFonts w:ascii="Times New Roman" w:eastAsia="Times New Roman" w:hAnsi="Times New Roman" w:cs="Times New Roman"/>
          <w:sz w:val="24"/>
          <w:szCs w:val="24"/>
        </w:rPr>
        <w:t xml:space="preserve"> час (АЧТЧ, АПТЧ), міжнародне нормалізоване відношення (МНВ));</w:t>
      </w:r>
    </w:p>
    <w:p w14:paraId="000001E6"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обстежень на </w:t>
      </w:r>
      <w:r>
        <w:rPr>
          <w:rFonts w:ascii="Times New Roman" w:eastAsia="Times New Roman" w:hAnsi="Times New Roman" w:cs="Times New Roman"/>
          <w:sz w:val="24"/>
          <w:szCs w:val="24"/>
        </w:rPr>
        <w:t>виявлення</w:t>
      </w:r>
      <w:r>
        <w:rPr>
          <w:rFonts w:ascii="Times New Roman" w:eastAsia="Times New Roman" w:hAnsi="Times New Roman" w:cs="Times New Roman"/>
          <w:strike/>
          <w:sz w:val="24"/>
          <w:szCs w:val="24"/>
        </w:rPr>
        <w:t>:</w:t>
      </w:r>
    </w:p>
    <w:p w14:paraId="000001E7"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ВІЛ-інфекції: антиген, зокрема антиген р24 та сумарні  антитіла до HIV 1 та 2 типів, РНК HIV (методом ПЛР);</w:t>
      </w:r>
    </w:p>
    <w:p w14:paraId="000001E8"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гепатиту В: </w:t>
      </w:r>
      <w:proofErr w:type="spellStart"/>
      <w:r>
        <w:rPr>
          <w:rFonts w:ascii="Times New Roman" w:eastAsia="Times New Roman" w:hAnsi="Times New Roman" w:cs="Times New Roman"/>
          <w:sz w:val="24"/>
          <w:szCs w:val="24"/>
        </w:rPr>
        <w:t>HBsAg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anti-HBcor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anti-HBs</w:t>
      </w:r>
      <w:proofErr w:type="spellEnd"/>
      <w:r>
        <w:rPr>
          <w:rFonts w:ascii="Times New Roman" w:eastAsia="Times New Roman" w:hAnsi="Times New Roman" w:cs="Times New Roman"/>
          <w:sz w:val="24"/>
          <w:szCs w:val="24"/>
        </w:rPr>
        <w:t>. ДНК HBV (методом ПЛР);</w:t>
      </w:r>
    </w:p>
    <w:p w14:paraId="000001E9"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гепа</w:t>
      </w:r>
      <w:r>
        <w:rPr>
          <w:rFonts w:ascii="Times New Roman" w:eastAsia="Times New Roman" w:hAnsi="Times New Roman" w:cs="Times New Roman"/>
          <w:sz w:val="24"/>
          <w:szCs w:val="24"/>
        </w:rPr>
        <w:t>титу С: сумарні антитіла (</w:t>
      </w:r>
      <w:proofErr w:type="spellStart"/>
      <w:r>
        <w:rPr>
          <w:rFonts w:ascii="Times New Roman" w:eastAsia="Times New Roman" w:hAnsi="Times New Roman" w:cs="Times New Roman"/>
          <w:sz w:val="24"/>
          <w:szCs w:val="24"/>
        </w:rPr>
        <w:t>Anti</w:t>
      </w:r>
      <w:proofErr w:type="spellEnd"/>
      <w:r>
        <w:rPr>
          <w:rFonts w:ascii="Times New Roman" w:eastAsia="Times New Roman" w:hAnsi="Times New Roman" w:cs="Times New Roman"/>
          <w:sz w:val="24"/>
          <w:szCs w:val="24"/>
        </w:rPr>
        <w:t>-HCV). РНК HCV (методом ПЛР);</w:t>
      </w:r>
    </w:p>
    <w:p w14:paraId="000001EA"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цитомегаловірусної</w:t>
      </w:r>
      <w:proofErr w:type="spellEnd"/>
      <w:r>
        <w:rPr>
          <w:rFonts w:ascii="Times New Roman" w:eastAsia="Times New Roman" w:hAnsi="Times New Roman" w:cs="Times New Roman"/>
          <w:sz w:val="24"/>
          <w:szCs w:val="24"/>
        </w:rPr>
        <w:t xml:space="preserve"> інфекції: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w:t>
      </w:r>
    </w:p>
    <w:p w14:paraId="000001EB"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вірусу </w:t>
      </w:r>
      <w:proofErr w:type="spellStart"/>
      <w:r>
        <w:rPr>
          <w:rFonts w:ascii="Times New Roman" w:eastAsia="Times New Roman" w:hAnsi="Times New Roman" w:cs="Times New Roman"/>
          <w:sz w:val="24"/>
          <w:szCs w:val="24"/>
        </w:rPr>
        <w:t>Епштейн-Барра</w:t>
      </w:r>
      <w:proofErr w:type="spellEnd"/>
      <w:r>
        <w:rPr>
          <w:rFonts w:ascii="Times New Roman" w:eastAsia="Times New Roman" w:hAnsi="Times New Roman" w:cs="Times New Roman"/>
          <w:sz w:val="24"/>
          <w:szCs w:val="24"/>
        </w:rPr>
        <w:t xml:space="preserve">: ДНК вірусу (методом ПЛР) та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 та G;</w:t>
      </w:r>
    </w:p>
    <w:p w14:paraId="000001EC"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сифілісу;</w:t>
      </w:r>
    </w:p>
    <w:p w14:paraId="000001ED"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токсоплазмозу: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 та G, ДНК вірусу (методом ПЛР);</w:t>
      </w:r>
    </w:p>
    <w:p w14:paraId="000001EE"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viii.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вірус простого герпесу (HSV) 1 та 2 типів, 3 типу (</w:t>
      </w:r>
      <w:proofErr w:type="spellStart"/>
      <w:r>
        <w:rPr>
          <w:rFonts w:ascii="Times New Roman" w:eastAsia="Times New Roman" w:hAnsi="Times New Roman" w:cs="Times New Roman"/>
          <w:sz w:val="24"/>
          <w:szCs w:val="24"/>
        </w:rPr>
        <w:t>Varicella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Zoster</w:t>
      </w:r>
      <w:proofErr w:type="spellEnd"/>
      <w:r>
        <w:rPr>
          <w:rFonts w:ascii="Times New Roman" w:eastAsia="Times New Roman" w:hAnsi="Times New Roman" w:cs="Times New Roman"/>
          <w:sz w:val="24"/>
          <w:szCs w:val="24"/>
        </w:rPr>
        <w:t>) герпесу 6 типу (HHV 6): ДНК (методом ПЛР) т</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імуноглобуліни</w:t>
      </w:r>
      <w:proofErr w:type="spellEnd"/>
      <w:r>
        <w:rPr>
          <w:rFonts w:ascii="Times New Roman" w:eastAsia="Times New Roman" w:hAnsi="Times New Roman" w:cs="Times New Roman"/>
          <w:sz w:val="24"/>
          <w:szCs w:val="24"/>
        </w:rPr>
        <w:t xml:space="preserve"> М;</w:t>
      </w:r>
    </w:p>
    <w:p w14:paraId="000001EF" w14:textId="77777777" w:rsidR="005B5750" w:rsidRDefault="00E241CC">
      <w:pPr>
        <w:shd w:val="clear" w:color="auto" w:fill="FFFFFF"/>
        <w:spacing w:after="0" w:line="276" w:lineRule="auto"/>
        <w:ind w:left="1800" w:hanging="90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ix.</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парвовірус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Parvovirus</w:t>
      </w:r>
      <w:proofErr w:type="spellEnd"/>
      <w:r>
        <w:rPr>
          <w:rFonts w:ascii="Times New Roman" w:eastAsia="Times New Roman" w:hAnsi="Times New Roman" w:cs="Times New Roman"/>
          <w:sz w:val="24"/>
          <w:szCs w:val="24"/>
        </w:rPr>
        <w:t xml:space="preserve"> B19) ДНК (методом ПЛР).</w:t>
      </w:r>
    </w:p>
    <w:p w14:paraId="000001F0" w14:textId="77777777" w:rsidR="005B5750" w:rsidRDefault="00E241CC">
      <w:pPr>
        <w:shd w:val="clear" w:color="auto" w:fill="FFFFFF"/>
        <w:spacing w:after="0" w:line="276" w:lineRule="auto"/>
        <w:ind w:left="7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проведення </w:t>
      </w:r>
      <w:proofErr w:type="spellStart"/>
      <w:r>
        <w:rPr>
          <w:rFonts w:ascii="Times New Roman" w:eastAsia="Times New Roman" w:hAnsi="Times New Roman" w:cs="Times New Roman"/>
          <w:sz w:val="24"/>
          <w:szCs w:val="24"/>
        </w:rPr>
        <w:t>імуногенетичного</w:t>
      </w:r>
      <w:proofErr w:type="spellEnd"/>
      <w:r>
        <w:rPr>
          <w:rFonts w:ascii="Times New Roman" w:eastAsia="Times New Roman" w:hAnsi="Times New Roman" w:cs="Times New Roman"/>
          <w:sz w:val="24"/>
          <w:szCs w:val="24"/>
        </w:rPr>
        <w:t xml:space="preserve"> скринінгу: визначення генотипу HLA за локусами A, - B, -C -DRB1, -DQB1, DPB1.</w:t>
      </w:r>
    </w:p>
    <w:p w14:paraId="534355CD"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Підготовка пацієнта/пацієнтки-донора до проведення заб</w:t>
      </w:r>
      <w:r w:rsidRPr="00405D26">
        <w:rPr>
          <w:rFonts w:ascii="Times New Roman" w:eastAsia="Times New Roman" w:hAnsi="Times New Roman" w:cs="Times New Roman"/>
          <w:sz w:val="24"/>
          <w:szCs w:val="24"/>
        </w:rPr>
        <w:t xml:space="preserve">ору ГСК, зокрема шляхом введення </w:t>
      </w:r>
      <w:proofErr w:type="spellStart"/>
      <w:r w:rsidRPr="00405D26">
        <w:rPr>
          <w:rFonts w:ascii="Times New Roman" w:eastAsia="Times New Roman" w:hAnsi="Times New Roman" w:cs="Times New Roman"/>
          <w:sz w:val="24"/>
          <w:szCs w:val="24"/>
        </w:rPr>
        <w:t>гранулоцитарного</w:t>
      </w:r>
      <w:proofErr w:type="spellEnd"/>
      <w:r w:rsidRPr="00405D26">
        <w:rPr>
          <w:rFonts w:ascii="Times New Roman" w:eastAsia="Times New Roman" w:hAnsi="Times New Roman" w:cs="Times New Roman"/>
          <w:sz w:val="24"/>
          <w:szCs w:val="24"/>
        </w:rPr>
        <w:t xml:space="preserve"> </w:t>
      </w:r>
      <w:proofErr w:type="spellStart"/>
      <w:r w:rsidRPr="00405D26">
        <w:rPr>
          <w:rFonts w:ascii="Times New Roman" w:eastAsia="Times New Roman" w:hAnsi="Times New Roman" w:cs="Times New Roman"/>
          <w:sz w:val="24"/>
          <w:szCs w:val="24"/>
        </w:rPr>
        <w:t>колонієстимулюючого</w:t>
      </w:r>
      <w:proofErr w:type="spellEnd"/>
      <w:r w:rsidRPr="00405D26">
        <w:rPr>
          <w:rFonts w:ascii="Times New Roman" w:eastAsia="Times New Roman" w:hAnsi="Times New Roman" w:cs="Times New Roman"/>
          <w:sz w:val="24"/>
          <w:szCs w:val="24"/>
        </w:rPr>
        <w:t xml:space="preserve"> фактору.</w:t>
      </w:r>
    </w:p>
    <w:p w14:paraId="26AEC8EC"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lastRenderedPageBreak/>
        <w:t xml:space="preserve">Анестезіологічне забезпечення під час проведення забору ГСК кісткового мозку пацієнту/пацієнтці – донору. </w:t>
      </w:r>
    </w:p>
    <w:p w14:paraId="18D26269"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Проведення забору ГСК у пацієнта/пацієнтки – донора або реципієнта (дл</w:t>
      </w:r>
      <w:r w:rsidRPr="00405D26">
        <w:rPr>
          <w:rFonts w:ascii="Times New Roman" w:eastAsia="Times New Roman" w:hAnsi="Times New Roman" w:cs="Times New Roman"/>
          <w:sz w:val="24"/>
          <w:szCs w:val="24"/>
        </w:rPr>
        <w:t xml:space="preserve">я </w:t>
      </w:r>
      <w:proofErr w:type="spellStart"/>
      <w:r w:rsidRPr="00405D26">
        <w:rPr>
          <w:rFonts w:ascii="Times New Roman" w:eastAsia="Times New Roman" w:hAnsi="Times New Roman" w:cs="Times New Roman"/>
          <w:sz w:val="24"/>
          <w:szCs w:val="24"/>
        </w:rPr>
        <w:t>аутологічної</w:t>
      </w:r>
      <w:proofErr w:type="spellEnd"/>
      <w:r w:rsidRPr="00405D26">
        <w:rPr>
          <w:rFonts w:ascii="Times New Roman" w:eastAsia="Times New Roman" w:hAnsi="Times New Roman" w:cs="Times New Roman"/>
          <w:sz w:val="24"/>
          <w:szCs w:val="24"/>
        </w:rPr>
        <w:t xml:space="preserve"> ТГСК).</w:t>
      </w:r>
    </w:p>
    <w:p w14:paraId="7F77A67A"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Проведення обробки, </w:t>
      </w:r>
      <w:proofErr w:type="spellStart"/>
      <w:r w:rsidRPr="00405D26">
        <w:rPr>
          <w:rFonts w:ascii="Times New Roman" w:eastAsia="Times New Roman" w:hAnsi="Times New Roman" w:cs="Times New Roman"/>
          <w:sz w:val="24"/>
          <w:szCs w:val="24"/>
        </w:rPr>
        <w:t>кріоконсервації</w:t>
      </w:r>
      <w:proofErr w:type="spellEnd"/>
      <w:r w:rsidRPr="00405D26">
        <w:rPr>
          <w:rFonts w:ascii="Times New Roman" w:eastAsia="Times New Roman" w:hAnsi="Times New Roman" w:cs="Times New Roman"/>
          <w:sz w:val="24"/>
          <w:szCs w:val="24"/>
        </w:rPr>
        <w:t xml:space="preserve"> та зберігання ГСК.</w:t>
      </w:r>
    </w:p>
    <w:p w14:paraId="69AFA9EC"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Проведення пацієнту/пацієнтці-реципієнту ГСК процедури кондиціонування: </w:t>
      </w:r>
      <w:proofErr w:type="spellStart"/>
      <w:r w:rsidRPr="00405D26">
        <w:rPr>
          <w:rFonts w:ascii="Times New Roman" w:eastAsia="Times New Roman" w:hAnsi="Times New Roman" w:cs="Times New Roman"/>
          <w:sz w:val="24"/>
          <w:szCs w:val="24"/>
        </w:rPr>
        <w:t>мієло</w:t>
      </w:r>
      <w:proofErr w:type="spellEnd"/>
      <w:r w:rsidRPr="00405D26">
        <w:rPr>
          <w:rFonts w:ascii="Times New Roman" w:eastAsia="Times New Roman" w:hAnsi="Times New Roman" w:cs="Times New Roman"/>
          <w:sz w:val="24"/>
          <w:szCs w:val="24"/>
        </w:rPr>
        <w:t xml:space="preserve">- та/або </w:t>
      </w:r>
      <w:proofErr w:type="spellStart"/>
      <w:r w:rsidRPr="00405D26">
        <w:rPr>
          <w:rFonts w:ascii="Times New Roman" w:eastAsia="Times New Roman" w:hAnsi="Times New Roman" w:cs="Times New Roman"/>
          <w:sz w:val="24"/>
          <w:szCs w:val="24"/>
        </w:rPr>
        <w:t>імуноаблятивної</w:t>
      </w:r>
      <w:proofErr w:type="spellEnd"/>
      <w:r w:rsidRPr="00405D26">
        <w:rPr>
          <w:rFonts w:ascii="Times New Roman" w:eastAsia="Times New Roman" w:hAnsi="Times New Roman" w:cs="Times New Roman"/>
          <w:sz w:val="24"/>
          <w:szCs w:val="24"/>
        </w:rPr>
        <w:t xml:space="preserve"> хіміотерапії та/або радіотерапії.</w:t>
      </w:r>
    </w:p>
    <w:p w14:paraId="537AF6C4"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Надання кисневої підтримки </w:t>
      </w:r>
      <w:r w:rsidRPr="00405D26">
        <w:rPr>
          <w:rFonts w:ascii="Times New Roman" w:eastAsia="Times New Roman" w:hAnsi="Times New Roman" w:cs="Times New Roman"/>
          <w:sz w:val="24"/>
          <w:szCs w:val="24"/>
        </w:rPr>
        <w:t>пацієнту/пацієнтці– донору або реципієнту .</w:t>
      </w:r>
    </w:p>
    <w:p w14:paraId="2CF211E2"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Проведення цілодобового моніторингу вітальних функцій (ЧСС, АТ, SpO2, ЕКГ-моніторинг та ін.) пацієнту/пацієнтці-реципієнту.</w:t>
      </w:r>
    </w:p>
    <w:p w14:paraId="65C1820F"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Проведення цілодобового лікарського спостереження та </w:t>
      </w:r>
      <w:proofErr w:type="spellStart"/>
      <w:r w:rsidRPr="00405D26">
        <w:rPr>
          <w:rFonts w:ascii="Times New Roman" w:eastAsia="Times New Roman" w:hAnsi="Times New Roman" w:cs="Times New Roman"/>
          <w:sz w:val="24"/>
          <w:szCs w:val="24"/>
        </w:rPr>
        <w:t>медсестринського</w:t>
      </w:r>
      <w:proofErr w:type="spellEnd"/>
      <w:r w:rsidRPr="00405D26">
        <w:rPr>
          <w:rFonts w:ascii="Times New Roman" w:eastAsia="Times New Roman" w:hAnsi="Times New Roman" w:cs="Times New Roman"/>
          <w:sz w:val="24"/>
          <w:szCs w:val="24"/>
        </w:rPr>
        <w:t xml:space="preserve"> догляду за пацієнт</w:t>
      </w:r>
      <w:r w:rsidRPr="00405D26">
        <w:rPr>
          <w:rFonts w:ascii="Times New Roman" w:eastAsia="Times New Roman" w:hAnsi="Times New Roman" w:cs="Times New Roman"/>
          <w:sz w:val="24"/>
          <w:szCs w:val="24"/>
        </w:rPr>
        <w:t>ом/пацієнткою реципієнтом.</w:t>
      </w:r>
    </w:p>
    <w:p w14:paraId="53E739E6"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Проведення пацієнту/пацієнтці-реципієнту трансфузії (</w:t>
      </w:r>
      <w:proofErr w:type="spellStart"/>
      <w:r w:rsidRPr="00405D26">
        <w:rPr>
          <w:rFonts w:ascii="Times New Roman" w:eastAsia="Times New Roman" w:hAnsi="Times New Roman" w:cs="Times New Roman"/>
          <w:sz w:val="24"/>
          <w:szCs w:val="24"/>
        </w:rPr>
        <w:t>реінфузії</w:t>
      </w:r>
      <w:proofErr w:type="spellEnd"/>
      <w:r w:rsidRPr="00405D26">
        <w:rPr>
          <w:rFonts w:ascii="Times New Roman" w:eastAsia="Times New Roman" w:hAnsi="Times New Roman" w:cs="Times New Roman"/>
          <w:sz w:val="24"/>
          <w:szCs w:val="24"/>
        </w:rPr>
        <w:t xml:space="preserve"> – ауто ГСК) ГСК (трансплантації).</w:t>
      </w:r>
    </w:p>
    <w:p w14:paraId="7F3398F7"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Своєчасне знеболення на всіх етапах діагностики та лікування: анестезіологічне забезпечення під час виконання всіх </w:t>
      </w:r>
      <w:proofErr w:type="spellStart"/>
      <w:r w:rsidRPr="00405D26">
        <w:rPr>
          <w:rFonts w:ascii="Times New Roman" w:eastAsia="Times New Roman" w:hAnsi="Times New Roman" w:cs="Times New Roman"/>
          <w:sz w:val="24"/>
          <w:szCs w:val="24"/>
        </w:rPr>
        <w:t>інвазивних</w:t>
      </w:r>
      <w:proofErr w:type="spellEnd"/>
      <w:r w:rsidRPr="00405D26">
        <w:rPr>
          <w:rFonts w:ascii="Times New Roman" w:eastAsia="Times New Roman" w:hAnsi="Times New Roman" w:cs="Times New Roman"/>
          <w:sz w:val="24"/>
          <w:szCs w:val="24"/>
        </w:rPr>
        <w:t xml:space="preserve"> діагностичних процедур, цілодобовий доступ до ненаркотичних та наркотичних знеболювальних засобів.</w:t>
      </w:r>
    </w:p>
    <w:p w14:paraId="358E2738"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Динамічне спостереження за станом пацієнта/пацієнтки-реципієнтом в </w:t>
      </w:r>
      <w:proofErr w:type="spellStart"/>
      <w:r w:rsidRPr="00405D26">
        <w:rPr>
          <w:rFonts w:ascii="Times New Roman" w:eastAsia="Times New Roman" w:hAnsi="Times New Roman" w:cs="Times New Roman"/>
          <w:sz w:val="24"/>
          <w:szCs w:val="24"/>
        </w:rPr>
        <w:t>посттрансплантаційному</w:t>
      </w:r>
      <w:proofErr w:type="spellEnd"/>
      <w:r w:rsidRPr="00405D26">
        <w:rPr>
          <w:rFonts w:ascii="Times New Roman" w:eastAsia="Times New Roman" w:hAnsi="Times New Roman" w:cs="Times New Roman"/>
          <w:sz w:val="24"/>
          <w:szCs w:val="24"/>
        </w:rPr>
        <w:t xml:space="preserve"> періоді.</w:t>
      </w:r>
    </w:p>
    <w:p w14:paraId="116111B0"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Призначення та/або корекція медикаментозного лікування, з</w:t>
      </w:r>
      <w:r w:rsidRPr="00405D26">
        <w:rPr>
          <w:rFonts w:ascii="Times New Roman" w:eastAsia="Times New Roman" w:hAnsi="Times New Roman" w:cs="Times New Roman"/>
          <w:sz w:val="24"/>
          <w:szCs w:val="24"/>
        </w:rPr>
        <w:t xml:space="preserve">окрема терапевтичний лікарський моніторинг та корегування </w:t>
      </w:r>
      <w:proofErr w:type="spellStart"/>
      <w:r w:rsidRPr="00405D26">
        <w:rPr>
          <w:rFonts w:ascii="Times New Roman" w:eastAsia="Times New Roman" w:hAnsi="Times New Roman" w:cs="Times New Roman"/>
          <w:sz w:val="24"/>
          <w:szCs w:val="24"/>
        </w:rPr>
        <w:t>імуносупресивної</w:t>
      </w:r>
      <w:proofErr w:type="spellEnd"/>
      <w:r w:rsidRPr="00405D26">
        <w:rPr>
          <w:rFonts w:ascii="Times New Roman" w:eastAsia="Times New Roman" w:hAnsi="Times New Roman" w:cs="Times New Roman"/>
          <w:sz w:val="24"/>
          <w:szCs w:val="24"/>
        </w:rPr>
        <w:t xml:space="preserve"> терапії пацієнтам- реципієнтам ГСК.</w:t>
      </w:r>
    </w:p>
    <w:p w14:paraId="60E98277"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 xml:space="preserve">Лікування ускладнень, зокрема пов’язаних з раннім відторгненням трансплантату (гострої та хронічної реакції трансплантат проти господаря). </w:t>
      </w:r>
    </w:p>
    <w:p w14:paraId="5FC81288" w14:textId="77777777" w:rsidR="00405D26" w:rsidRDefault="00E241CC" w:rsidP="00405D26">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Оцінк</w:t>
      </w:r>
      <w:r w:rsidRPr="00405D26">
        <w:rPr>
          <w:rFonts w:ascii="Times New Roman" w:eastAsia="Times New Roman" w:hAnsi="Times New Roman" w:cs="Times New Roman"/>
          <w:sz w:val="24"/>
          <w:szCs w:val="24"/>
        </w:rPr>
        <w:t>а психоемоційного стану пацієнта/пацієнтки та надання психологічної допомоги на всіх етапах надання допомоги.</w:t>
      </w:r>
    </w:p>
    <w:p w14:paraId="6E51F29B"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405D26">
        <w:rPr>
          <w:rFonts w:ascii="Times New Roman" w:eastAsia="Times New Roman" w:hAnsi="Times New Roman" w:cs="Times New Roman"/>
          <w:sz w:val="24"/>
          <w:szCs w:val="24"/>
        </w:rPr>
        <w:t>Проведення консультацій лікарями інших спеціальностей пацієнту/пацієнтці.</w:t>
      </w:r>
    </w:p>
    <w:p w14:paraId="33690742"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Направлення пацієнта/пацієнтки для отримання спеціалізованої медичної до</w:t>
      </w:r>
      <w:r w:rsidRPr="00DE6244">
        <w:rPr>
          <w:rFonts w:ascii="Times New Roman" w:eastAsia="Times New Roman" w:hAnsi="Times New Roman" w:cs="Times New Roman"/>
          <w:sz w:val="24"/>
          <w:szCs w:val="24"/>
        </w:rPr>
        <w:t>помоги за іншими напрямами в інші підрозділи/ЗОЗ, зокрема для проведення променевої терапії, або виклик спеціалістів з цих закладів  для надання такого виду допомоги  пацієнту/пацієнтці у разі неможливості його/її транспортування.</w:t>
      </w:r>
    </w:p>
    <w:p w14:paraId="0014D8F3"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Надання послуг з реабіліт</w:t>
      </w:r>
      <w:r w:rsidRPr="00DE6244">
        <w:rPr>
          <w:rFonts w:ascii="Times New Roman" w:eastAsia="Times New Roman" w:hAnsi="Times New Roman" w:cs="Times New Roman"/>
          <w:sz w:val="24"/>
          <w:szCs w:val="24"/>
        </w:rPr>
        <w:t>ації у сфері охорони здоров’я за медичними показами під час отримання лікування та направлення пацієнта/пацієнтки для отримання послуг з реабілітації або послуг з паліативної медичної допомоги.</w:t>
      </w:r>
    </w:p>
    <w:p w14:paraId="547E8BB1"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Інформування пацієнта/пацієнтки про можливе порушення репродук</w:t>
      </w:r>
      <w:r w:rsidRPr="00DE6244">
        <w:rPr>
          <w:rFonts w:ascii="Times New Roman" w:eastAsia="Times New Roman" w:hAnsi="Times New Roman" w:cs="Times New Roman"/>
          <w:sz w:val="24"/>
          <w:szCs w:val="24"/>
        </w:rPr>
        <w:t xml:space="preserve">тивної функції перед початком лікування та направлення його/її (за бажанням) на консультацію </w:t>
      </w:r>
      <w:proofErr w:type="spellStart"/>
      <w:r w:rsidRPr="00DE6244">
        <w:rPr>
          <w:rFonts w:ascii="Times New Roman" w:eastAsia="Times New Roman" w:hAnsi="Times New Roman" w:cs="Times New Roman"/>
          <w:sz w:val="24"/>
          <w:szCs w:val="24"/>
        </w:rPr>
        <w:t>репродуктолога</w:t>
      </w:r>
      <w:proofErr w:type="spellEnd"/>
      <w:r w:rsidRPr="00DE6244">
        <w:rPr>
          <w:rFonts w:ascii="Times New Roman" w:eastAsia="Times New Roman" w:hAnsi="Times New Roman" w:cs="Times New Roman"/>
          <w:sz w:val="24"/>
          <w:szCs w:val="24"/>
        </w:rPr>
        <w:t xml:space="preserve"> у відповідний </w:t>
      </w:r>
      <w:r w:rsidRPr="00DE6244">
        <w:rPr>
          <w:rFonts w:ascii="Times New Roman" w:eastAsia="Times New Roman" w:hAnsi="Times New Roman" w:cs="Times New Roman"/>
          <w:sz w:val="24"/>
          <w:szCs w:val="24"/>
          <w:highlight w:val="white"/>
        </w:rPr>
        <w:t>ЗОЗ</w:t>
      </w:r>
      <w:r w:rsidRPr="00DE6244">
        <w:rPr>
          <w:rFonts w:ascii="Times New Roman" w:eastAsia="Times New Roman" w:hAnsi="Times New Roman" w:cs="Times New Roman"/>
          <w:sz w:val="24"/>
          <w:szCs w:val="24"/>
        </w:rPr>
        <w:t xml:space="preserve">. </w:t>
      </w:r>
    </w:p>
    <w:p w14:paraId="2B4C8A4B"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 xml:space="preserve">Забезпечення компонентами та препаратами крові у цілодобовому режимі. </w:t>
      </w:r>
    </w:p>
    <w:p w14:paraId="1B2D4037"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 xml:space="preserve">Забезпечення лікарськими засобами, зокрема розчинами для </w:t>
      </w:r>
      <w:r w:rsidRPr="00DE6244">
        <w:rPr>
          <w:rFonts w:ascii="Times New Roman" w:eastAsia="Times New Roman" w:hAnsi="Times New Roman" w:cs="Times New Roman"/>
          <w:sz w:val="24"/>
          <w:szCs w:val="24"/>
        </w:rPr>
        <w:t xml:space="preserve">парентерального харчування, постачання яких здійснюється шляхом централізованих </w:t>
      </w:r>
      <w:proofErr w:type="spellStart"/>
      <w:r w:rsidRPr="00DE6244">
        <w:rPr>
          <w:rFonts w:ascii="Times New Roman" w:eastAsia="Times New Roman" w:hAnsi="Times New Roman" w:cs="Times New Roman"/>
          <w:sz w:val="24"/>
          <w:szCs w:val="24"/>
        </w:rPr>
        <w:t>закупівель</w:t>
      </w:r>
      <w:proofErr w:type="spellEnd"/>
      <w:r w:rsidRPr="00DE6244">
        <w:rPr>
          <w:rFonts w:ascii="Times New Roman" w:eastAsia="Times New Roman" w:hAnsi="Times New Roman" w:cs="Times New Roman"/>
          <w:sz w:val="24"/>
          <w:szCs w:val="24"/>
        </w:rPr>
        <w:t xml:space="preserve">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w:t>
      </w:r>
      <w:r w:rsidRPr="00DE6244">
        <w:rPr>
          <w:rFonts w:ascii="Times New Roman" w:eastAsia="Times New Roman" w:hAnsi="Times New Roman" w:cs="Times New Roman"/>
          <w:sz w:val="24"/>
          <w:szCs w:val="24"/>
        </w:rPr>
        <w:t>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p w14:paraId="396202A0" w14:textId="77777777" w:rsid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Забезпечення необхідним лікувальним харчуванням в умовах стаціонару.</w:t>
      </w:r>
    </w:p>
    <w:p w14:paraId="00000207" w14:textId="2A16AB8D" w:rsidR="005B5750" w:rsidRPr="00DE6244" w:rsidRDefault="00E241CC" w:rsidP="00DE6244">
      <w:pPr>
        <w:pStyle w:val="a4"/>
        <w:numPr>
          <w:ilvl w:val="0"/>
          <w:numId w:val="32"/>
        </w:numPr>
        <w:shd w:val="clear" w:color="auto" w:fill="FFFFFF"/>
        <w:spacing w:before="240"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 xml:space="preserve">Дотримання принципів </w:t>
      </w:r>
      <w:proofErr w:type="spellStart"/>
      <w:r w:rsidRPr="00DE6244">
        <w:rPr>
          <w:rFonts w:ascii="Times New Roman" w:eastAsia="Times New Roman" w:hAnsi="Times New Roman" w:cs="Times New Roman"/>
          <w:sz w:val="24"/>
          <w:szCs w:val="24"/>
        </w:rPr>
        <w:t>безбар’єрності</w:t>
      </w:r>
      <w:proofErr w:type="spellEnd"/>
      <w:r w:rsidRPr="00DE6244">
        <w:rPr>
          <w:rFonts w:ascii="Times New Roman" w:eastAsia="Times New Roman" w:hAnsi="Times New Roman" w:cs="Times New Roman"/>
          <w:sz w:val="24"/>
          <w:szCs w:val="24"/>
        </w:rPr>
        <w:t xml:space="preserve"> та </w:t>
      </w:r>
      <w:r w:rsidRPr="00DE6244">
        <w:rPr>
          <w:rFonts w:ascii="Times New Roman" w:eastAsia="Times New Roman" w:hAnsi="Times New Roman" w:cs="Times New Roman"/>
          <w:sz w:val="24"/>
          <w:szCs w:val="24"/>
        </w:rPr>
        <w:t>інклюзії при наданні медичної допомоги, у тому числі з використанням методів і засобів телемедицини відповідно до нормативно-</w:t>
      </w:r>
      <w:r w:rsidRPr="00DE6244">
        <w:rPr>
          <w:rFonts w:ascii="Times New Roman" w:eastAsia="Times New Roman" w:hAnsi="Times New Roman" w:cs="Times New Roman"/>
          <w:sz w:val="24"/>
          <w:szCs w:val="24"/>
        </w:rPr>
        <w:lastRenderedPageBreak/>
        <w:t>правових актів.</w:t>
      </w:r>
      <w:r w:rsidRPr="00DE6244">
        <w:rPr>
          <w:rFonts w:ascii="Times New Roman" w:eastAsia="Times New Roman" w:hAnsi="Times New Roman" w:cs="Times New Roman"/>
          <w:sz w:val="24"/>
          <w:szCs w:val="24"/>
        </w:rPr>
        <w:br/>
      </w:r>
      <w:r w:rsidRPr="00DE6244">
        <w:rPr>
          <w:rFonts w:ascii="Times New Roman" w:eastAsia="Times New Roman" w:hAnsi="Times New Roman" w:cs="Times New Roman"/>
          <w:sz w:val="24"/>
          <w:szCs w:val="24"/>
        </w:rPr>
        <w:br/>
      </w:r>
    </w:p>
    <w:p w14:paraId="00000209" w14:textId="7F23CA1F" w:rsidR="005B5750" w:rsidRPr="00DE6244" w:rsidRDefault="00E241CC" w:rsidP="00DE6244">
      <w:pPr>
        <w:shd w:val="clear" w:color="auto" w:fill="FFFFFF"/>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ЛІКУВАННЯ ДОРОСЛИХ ТА ДІТЕЙ МЕТОДОМ ТРАНСПЛАНТАЦІЇ ГЕМОПОЕТИЧНИХ СТОВБУРОВИХ КЛІТИН </w:t>
      </w:r>
    </w:p>
    <w:p w14:paraId="0000020A" w14:textId="42C01AF6" w:rsidR="005B5750" w:rsidRPr="00DE6244" w:rsidRDefault="00E241CC" w:rsidP="00DE6244">
      <w:pPr>
        <w:shd w:val="clear" w:color="auto" w:fill="FFFFFF"/>
        <w:spacing w:before="240" w:after="0" w:line="276" w:lineRule="auto"/>
        <w:jc w:val="center"/>
        <w:rPr>
          <w:rFonts w:ascii="Times New Roman" w:eastAsia="Times New Roman" w:hAnsi="Times New Roman" w:cs="Times New Roman"/>
          <w:bCs/>
          <w:i/>
          <w:iCs/>
          <w:sz w:val="24"/>
          <w:szCs w:val="24"/>
        </w:rPr>
      </w:pPr>
      <w:r w:rsidRPr="00DE6244">
        <w:rPr>
          <w:rFonts w:ascii="Times New Roman" w:eastAsia="Times New Roman" w:hAnsi="Times New Roman" w:cs="Times New Roman"/>
          <w:bCs/>
          <w:i/>
          <w:iCs/>
          <w:sz w:val="24"/>
          <w:szCs w:val="24"/>
        </w:rPr>
        <w:t xml:space="preserve">Умови закупівлі медичних </w:t>
      </w:r>
      <w:r w:rsidRPr="00DE6244">
        <w:rPr>
          <w:rFonts w:ascii="Times New Roman" w:eastAsia="Times New Roman" w:hAnsi="Times New Roman" w:cs="Times New Roman"/>
          <w:bCs/>
          <w:i/>
          <w:iCs/>
          <w:sz w:val="24"/>
          <w:szCs w:val="24"/>
        </w:rPr>
        <w:t>послуг</w:t>
      </w:r>
    </w:p>
    <w:p w14:paraId="0000020B"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Умови надання послуги: </w:t>
      </w:r>
      <w:r>
        <w:rPr>
          <w:rFonts w:ascii="Times New Roman" w:eastAsia="Times New Roman" w:hAnsi="Times New Roman" w:cs="Times New Roman"/>
          <w:sz w:val="24"/>
          <w:szCs w:val="24"/>
        </w:rPr>
        <w:t xml:space="preserve">амбулаторно та/або стаціонарно. </w:t>
      </w:r>
    </w:p>
    <w:p w14:paraId="0000020C"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Підстави надання послуги</w:t>
      </w:r>
      <w:r>
        <w:rPr>
          <w:rFonts w:ascii="Times New Roman" w:eastAsia="Times New Roman" w:hAnsi="Times New Roman" w:cs="Times New Roman"/>
          <w:sz w:val="24"/>
          <w:szCs w:val="24"/>
        </w:rPr>
        <w:t xml:space="preserve">: </w:t>
      </w:r>
    </w:p>
    <w:p w14:paraId="0000020D" w14:textId="77777777" w:rsidR="005B5750" w:rsidRDefault="00E241CC">
      <w:pPr>
        <w:shd w:val="clear" w:color="auto" w:fill="FFFFFF"/>
        <w:spacing w:after="0" w:line="276"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направлення лікуючого лікаря пацієнта/пацієнтки-реципієнта; </w:t>
      </w:r>
    </w:p>
    <w:p w14:paraId="0000020E" w14:textId="77777777" w:rsidR="005B5750" w:rsidRDefault="00E241CC">
      <w:pPr>
        <w:shd w:val="clear" w:color="auto" w:fill="FFFFFF"/>
        <w:spacing w:after="0" w:line="276"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переведення з іншого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/клінічного підрозділу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пацієнта/пацієнтки-реципієнта із встановленим </w:t>
      </w:r>
      <w:r>
        <w:rPr>
          <w:rFonts w:ascii="Times New Roman" w:eastAsia="Times New Roman" w:hAnsi="Times New Roman" w:cs="Times New Roman"/>
          <w:sz w:val="24"/>
          <w:szCs w:val="24"/>
        </w:rPr>
        <w:t>діагнозом;</w:t>
      </w:r>
    </w:p>
    <w:p w14:paraId="0000020F" w14:textId="77777777" w:rsidR="005B5750" w:rsidRDefault="00E241CC">
      <w:pPr>
        <w:shd w:val="clear" w:color="auto" w:fill="FFFFFF"/>
        <w:spacing w:after="0" w:line="276" w:lineRule="auto"/>
        <w:ind w:left="1260" w:hanging="3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самозвернення</w:t>
      </w:r>
      <w:proofErr w:type="spellEnd"/>
      <w:r>
        <w:rPr>
          <w:rFonts w:ascii="Times New Roman" w:eastAsia="Times New Roman" w:hAnsi="Times New Roman" w:cs="Times New Roman"/>
          <w:sz w:val="24"/>
          <w:szCs w:val="24"/>
        </w:rPr>
        <w:t xml:space="preserve"> пацієнта/пацієнтки донора ГСК. </w:t>
      </w:r>
    </w:p>
    <w:p w14:paraId="00000210"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50314E" w14:textId="77777777" w:rsidR="00DE6244" w:rsidRDefault="00E241CC" w:rsidP="00DE6244">
      <w:pPr>
        <w:shd w:val="clear" w:color="auto" w:fill="FFFFFF"/>
        <w:spacing w:before="240"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Вимоги до організації надання послуги: </w:t>
      </w:r>
    </w:p>
    <w:p w14:paraId="3E3C5C77"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огляду, оцінювання, визначення типу донора та джерела стовбурових </w:t>
      </w:r>
      <w:proofErr w:type="spellStart"/>
      <w:r w:rsidRPr="00DE6244">
        <w:rPr>
          <w:rFonts w:ascii="Times New Roman" w:eastAsia="Times New Roman" w:hAnsi="Times New Roman" w:cs="Times New Roman"/>
          <w:sz w:val="24"/>
          <w:szCs w:val="24"/>
        </w:rPr>
        <w:t>гемопоетичних</w:t>
      </w:r>
      <w:proofErr w:type="spellEnd"/>
      <w:r w:rsidRPr="00DE6244">
        <w:rPr>
          <w:rFonts w:ascii="Times New Roman" w:eastAsia="Times New Roman" w:hAnsi="Times New Roman" w:cs="Times New Roman"/>
          <w:sz w:val="24"/>
          <w:szCs w:val="24"/>
        </w:rPr>
        <w:t xml:space="preserve"> клітин для трансплантації пацієнтам-реципієнтам.</w:t>
      </w:r>
    </w:p>
    <w:p w14:paraId="4A37013C"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Внесення інформації про пацієнтів-реципієнтів, які підлягають лікуванню методом ТГСК до інформаційної системи ТГСК уповноваженим працівником закладу охорони здоров’я, якого визначено відповідним наказом керівника ЗОЗ (внесення інформації до Державної інфор</w:t>
      </w:r>
      <w:r w:rsidRPr="00DE6244">
        <w:rPr>
          <w:rFonts w:ascii="Times New Roman" w:eastAsia="Times New Roman" w:hAnsi="Times New Roman" w:cs="Times New Roman"/>
          <w:sz w:val="24"/>
          <w:szCs w:val="24"/>
        </w:rPr>
        <w:t xml:space="preserve">маційної системи трансплантації </w:t>
      </w:r>
      <w:proofErr w:type="spellStart"/>
      <w:r w:rsidRPr="00DE6244">
        <w:rPr>
          <w:rFonts w:ascii="Times New Roman" w:eastAsia="Times New Roman" w:hAnsi="Times New Roman" w:cs="Times New Roman"/>
          <w:sz w:val="24"/>
          <w:szCs w:val="24"/>
        </w:rPr>
        <w:t>гемопоетичних</w:t>
      </w:r>
      <w:proofErr w:type="spellEnd"/>
      <w:r w:rsidRPr="00DE6244">
        <w:rPr>
          <w:rFonts w:ascii="Times New Roman" w:eastAsia="Times New Roman" w:hAnsi="Times New Roman" w:cs="Times New Roman"/>
          <w:sz w:val="24"/>
          <w:szCs w:val="24"/>
        </w:rPr>
        <w:t xml:space="preserve"> стовбурових клітин починаючи з визначеного Міністерством охорони здоров’я дня забезпечення відповідної технічної можливості).</w:t>
      </w:r>
    </w:p>
    <w:p w14:paraId="6EE5105D"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Внесення інформації про донора до інформаційної системи ТГСК уповноваженим  працівни</w:t>
      </w:r>
      <w:r w:rsidRPr="00DE6244">
        <w:rPr>
          <w:rFonts w:ascii="Times New Roman" w:eastAsia="Times New Roman" w:hAnsi="Times New Roman" w:cs="Times New Roman"/>
          <w:sz w:val="24"/>
          <w:szCs w:val="24"/>
        </w:rPr>
        <w:t xml:space="preserve">ком закладу охорони здоров’я, якого визначено відповідним наказом керівника ЗОЗ (внесення інформації до Державної інформаційної системи трансплантації </w:t>
      </w:r>
      <w:proofErr w:type="spellStart"/>
      <w:r w:rsidRPr="00DE6244">
        <w:rPr>
          <w:rFonts w:ascii="Times New Roman" w:eastAsia="Times New Roman" w:hAnsi="Times New Roman" w:cs="Times New Roman"/>
          <w:sz w:val="24"/>
          <w:szCs w:val="24"/>
        </w:rPr>
        <w:t>гемопоетичних</w:t>
      </w:r>
      <w:proofErr w:type="spellEnd"/>
      <w:r w:rsidRPr="00DE6244">
        <w:rPr>
          <w:rFonts w:ascii="Times New Roman" w:eastAsia="Times New Roman" w:hAnsi="Times New Roman" w:cs="Times New Roman"/>
          <w:sz w:val="24"/>
          <w:szCs w:val="24"/>
        </w:rPr>
        <w:t xml:space="preserve"> стовбурових клітин починаючи з визначеного Міністерством охорони здоров’я дня забезпечення </w:t>
      </w:r>
      <w:r w:rsidRPr="00DE6244">
        <w:rPr>
          <w:rFonts w:ascii="Times New Roman" w:eastAsia="Times New Roman" w:hAnsi="Times New Roman" w:cs="Times New Roman"/>
          <w:sz w:val="24"/>
          <w:szCs w:val="24"/>
        </w:rPr>
        <w:t>відповідної технічної можливості).</w:t>
      </w:r>
    </w:p>
    <w:p w14:paraId="144CB55E"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внесення в ЕСОЗ інформації щодо наданих медичних послуг, передбачених специфікаціями, у </w:t>
      </w:r>
      <w:proofErr w:type="spellStart"/>
      <w:r w:rsidRPr="00DE6244">
        <w:rPr>
          <w:rFonts w:ascii="Times New Roman" w:eastAsia="Times New Roman" w:hAnsi="Times New Roman" w:cs="Times New Roman"/>
          <w:sz w:val="24"/>
          <w:szCs w:val="24"/>
        </w:rPr>
        <w:t>т.ч</w:t>
      </w:r>
      <w:proofErr w:type="spellEnd"/>
      <w:r w:rsidRPr="00DE6244">
        <w:rPr>
          <w:rFonts w:ascii="Times New Roman" w:eastAsia="Times New Roman" w:hAnsi="Times New Roman" w:cs="Times New Roman"/>
          <w:sz w:val="24"/>
          <w:szCs w:val="24"/>
        </w:rPr>
        <w:t>. інтервенцій, наведених у додатку до пакету медичних послуг.</w:t>
      </w:r>
    </w:p>
    <w:p w14:paraId="54132727"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Забезпечення огляду, консультування та оцінювання стану</w:t>
      </w:r>
      <w:r w:rsidRPr="00DE6244">
        <w:rPr>
          <w:rFonts w:ascii="Times New Roman" w:eastAsia="Times New Roman" w:hAnsi="Times New Roman" w:cs="Times New Roman"/>
          <w:sz w:val="24"/>
          <w:szCs w:val="24"/>
        </w:rPr>
        <w:t xml:space="preserve"> пацієнтів-</w:t>
      </w:r>
      <w:r w:rsidRPr="00DE6244">
        <w:rPr>
          <w:rFonts w:ascii="Times New Roman" w:eastAsia="Times New Roman" w:hAnsi="Times New Roman" w:cs="Times New Roman"/>
          <w:i/>
          <w:sz w:val="24"/>
          <w:szCs w:val="24"/>
        </w:rPr>
        <w:t xml:space="preserve"> </w:t>
      </w:r>
      <w:r w:rsidRPr="00DE6244">
        <w:rPr>
          <w:rFonts w:ascii="Times New Roman" w:eastAsia="Times New Roman" w:hAnsi="Times New Roman" w:cs="Times New Roman"/>
          <w:sz w:val="24"/>
          <w:szCs w:val="24"/>
        </w:rPr>
        <w:t xml:space="preserve">донорів ГСК. </w:t>
      </w:r>
    </w:p>
    <w:p w14:paraId="73223846" w14:textId="02D5BDA9"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проведення лабораторних досліджень, визначених специфікаціями, у ЗОЗ або на умовах оренди, </w:t>
      </w:r>
      <w:proofErr w:type="spellStart"/>
      <w:r w:rsidRPr="00DE6244">
        <w:rPr>
          <w:rFonts w:ascii="Times New Roman" w:eastAsia="Times New Roman" w:hAnsi="Times New Roman" w:cs="Times New Roman"/>
          <w:sz w:val="24"/>
          <w:szCs w:val="24"/>
        </w:rPr>
        <w:t>підряду</w:t>
      </w:r>
      <w:proofErr w:type="spellEnd"/>
      <w:r w:rsidRPr="00DE6244">
        <w:rPr>
          <w:rFonts w:ascii="Times New Roman" w:eastAsia="Times New Roman" w:hAnsi="Times New Roman" w:cs="Times New Roman"/>
          <w:sz w:val="24"/>
          <w:szCs w:val="24"/>
        </w:rPr>
        <w:t xml:space="preserve"> та інших умов користування пацієнтам- реципієнтам СГК та пацієнтам-донорам ГСК.</w:t>
      </w:r>
    </w:p>
    <w:p w14:paraId="39ABBA03"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проведення </w:t>
      </w:r>
      <w:proofErr w:type="spellStart"/>
      <w:r w:rsidRPr="00DE6244">
        <w:rPr>
          <w:rFonts w:ascii="Times New Roman" w:eastAsia="Times New Roman" w:hAnsi="Times New Roman" w:cs="Times New Roman"/>
          <w:sz w:val="24"/>
          <w:szCs w:val="24"/>
        </w:rPr>
        <w:t>імуногенетично</w:t>
      </w:r>
      <w:r w:rsidRPr="00DE6244">
        <w:rPr>
          <w:rFonts w:ascii="Times New Roman" w:eastAsia="Times New Roman" w:hAnsi="Times New Roman" w:cs="Times New Roman"/>
          <w:sz w:val="24"/>
          <w:szCs w:val="24"/>
        </w:rPr>
        <w:t>го</w:t>
      </w:r>
      <w:proofErr w:type="spellEnd"/>
      <w:r w:rsidRPr="00DE6244">
        <w:rPr>
          <w:rFonts w:ascii="Times New Roman" w:eastAsia="Times New Roman" w:hAnsi="Times New Roman" w:cs="Times New Roman"/>
          <w:sz w:val="24"/>
          <w:szCs w:val="24"/>
        </w:rPr>
        <w:t xml:space="preserve"> скринінгу в ЗОЗ або на умовах оренди, </w:t>
      </w:r>
      <w:proofErr w:type="spellStart"/>
      <w:r w:rsidRPr="00DE6244">
        <w:rPr>
          <w:rFonts w:ascii="Times New Roman" w:eastAsia="Times New Roman" w:hAnsi="Times New Roman" w:cs="Times New Roman"/>
          <w:sz w:val="24"/>
          <w:szCs w:val="24"/>
        </w:rPr>
        <w:t>підряду</w:t>
      </w:r>
      <w:proofErr w:type="spellEnd"/>
      <w:r w:rsidRPr="00DE6244">
        <w:rPr>
          <w:rFonts w:ascii="Times New Roman" w:eastAsia="Times New Roman" w:hAnsi="Times New Roman" w:cs="Times New Roman"/>
          <w:sz w:val="24"/>
          <w:szCs w:val="24"/>
        </w:rPr>
        <w:t xml:space="preserve"> та інших умов користування пацієнтам </w:t>
      </w:r>
      <w:proofErr w:type="spellStart"/>
      <w:r w:rsidRPr="00DE6244">
        <w:rPr>
          <w:rFonts w:ascii="Times New Roman" w:eastAsia="Times New Roman" w:hAnsi="Times New Roman" w:cs="Times New Roman"/>
          <w:sz w:val="24"/>
          <w:szCs w:val="24"/>
        </w:rPr>
        <w:t>реціпієнтам</w:t>
      </w:r>
      <w:proofErr w:type="spellEnd"/>
      <w:r w:rsidRPr="00DE6244">
        <w:rPr>
          <w:rFonts w:ascii="Times New Roman" w:eastAsia="Times New Roman" w:hAnsi="Times New Roman" w:cs="Times New Roman"/>
          <w:sz w:val="24"/>
          <w:szCs w:val="24"/>
        </w:rPr>
        <w:t xml:space="preserve"> ГСК та пацієнтам -донорам ГСК.</w:t>
      </w:r>
    </w:p>
    <w:p w14:paraId="58F32B0B"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проведення інструментальних досліджень, визначених специфікаціями, у ЗОЗ або на умовах оренди, </w:t>
      </w:r>
      <w:proofErr w:type="spellStart"/>
      <w:r w:rsidRPr="00DE6244">
        <w:rPr>
          <w:rFonts w:ascii="Times New Roman" w:eastAsia="Times New Roman" w:hAnsi="Times New Roman" w:cs="Times New Roman"/>
          <w:sz w:val="24"/>
          <w:szCs w:val="24"/>
        </w:rPr>
        <w:t>підряду</w:t>
      </w:r>
      <w:proofErr w:type="spellEnd"/>
      <w:r w:rsidRPr="00DE6244">
        <w:rPr>
          <w:rFonts w:ascii="Times New Roman" w:eastAsia="Times New Roman" w:hAnsi="Times New Roman" w:cs="Times New Roman"/>
          <w:sz w:val="24"/>
          <w:szCs w:val="24"/>
        </w:rPr>
        <w:t xml:space="preserve"> та інших ум</w:t>
      </w:r>
      <w:r w:rsidRPr="00DE6244">
        <w:rPr>
          <w:rFonts w:ascii="Times New Roman" w:eastAsia="Times New Roman" w:hAnsi="Times New Roman" w:cs="Times New Roman"/>
          <w:sz w:val="24"/>
          <w:szCs w:val="24"/>
        </w:rPr>
        <w:t>ов користування, пацієнтам реципієнтам ГСК.</w:t>
      </w:r>
    </w:p>
    <w:p w14:paraId="740D7BA0"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підготовки пацієнтів-донорів до проведення забору ГСК, зокрема шляхом введення </w:t>
      </w:r>
      <w:proofErr w:type="spellStart"/>
      <w:r w:rsidRPr="00DE6244">
        <w:rPr>
          <w:rFonts w:ascii="Times New Roman" w:eastAsia="Times New Roman" w:hAnsi="Times New Roman" w:cs="Times New Roman"/>
          <w:sz w:val="24"/>
          <w:szCs w:val="24"/>
        </w:rPr>
        <w:t>гранулоцитарного</w:t>
      </w:r>
      <w:proofErr w:type="spellEnd"/>
      <w:r w:rsidRPr="00DE6244">
        <w:rPr>
          <w:rFonts w:ascii="Times New Roman" w:eastAsia="Times New Roman" w:hAnsi="Times New Roman" w:cs="Times New Roman"/>
          <w:sz w:val="24"/>
          <w:szCs w:val="24"/>
        </w:rPr>
        <w:t xml:space="preserve"> </w:t>
      </w:r>
      <w:proofErr w:type="spellStart"/>
      <w:r w:rsidRPr="00DE6244">
        <w:rPr>
          <w:rFonts w:ascii="Times New Roman" w:eastAsia="Times New Roman" w:hAnsi="Times New Roman" w:cs="Times New Roman"/>
          <w:sz w:val="24"/>
          <w:szCs w:val="24"/>
        </w:rPr>
        <w:t>колонієстимулюючого</w:t>
      </w:r>
      <w:proofErr w:type="spellEnd"/>
      <w:r w:rsidRPr="00DE6244">
        <w:rPr>
          <w:rFonts w:ascii="Times New Roman" w:eastAsia="Times New Roman" w:hAnsi="Times New Roman" w:cs="Times New Roman"/>
          <w:sz w:val="24"/>
          <w:szCs w:val="24"/>
        </w:rPr>
        <w:t xml:space="preserve"> фактору.</w:t>
      </w:r>
    </w:p>
    <w:p w14:paraId="42108231"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lastRenderedPageBreak/>
        <w:t>Забезпечення проведення забору ГСК у пацієнтів.</w:t>
      </w:r>
    </w:p>
    <w:p w14:paraId="62EE5BB2"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обробки, </w:t>
      </w:r>
      <w:proofErr w:type="spellStart"/>
      <w:r w:rsidRPr="00DE6244">
        <w:rPr>
          <w:rFonts w:ascii="Times New Roman" w:eastAsia="Times New Roman" w:hAnsi="Times New Roman" w:cs="Times New Roman"/>
          <w:sz w:val="24"/>
          <w:szCs w:val="24"/>
        </w:rPr>
        <w:t>кріо</w:t>
      </w:r>
      <w:r w:rsidRPr="00DE6244">
        <w:rPr>
          <w:rFonts w:ascii="Times New Roman" w:eastAsia="Times New Roman" w:hAnsi="Times New Roman" w:cs="Times New Roman"/>
          <w:sz w:val="24"/>
          <w:szCs w:val="24"/>
        </w:rPr>
        <w:t>консервації</w:t>
      </w:r>
      <w:proofErr w:type="spellEnd"/>
      <w:r w:rsidRPr="00DE6244">
        <w:rPr>
          <w:rFonts w:ascii="Times New Roman" w:eastAsia="Times New Roman" w:hAnsi="Times New Roman" w:cs="Times New Roman"/>
          <w:sz w:val="24"/>
          <w:szCs w:val="24"/>
        </w:rPr>
        <w:t xml:space="preserve"> та зберігання ГСК.</w:t>
      </w:r>
    </w:p>
    <w:p w14:paraId="75E34052"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Забезпечення проведення процедури кондиціонування (</w:t>
      </w:r>
      <w:proofErr w:type="spellStart"/>
      <w:r w:rsidRPr="00DE6244">
        <w:rPr>
          <w:rFonts w:ascii="Times New Roman" w:eastAsia="Times New Roman" w:hAnsi="Times New Roman" w:cs="Times New Roman"/>
          <w:sz w:val="24"/>
          <w:szCs w:val="24"/>
        </w:rPr>
        <w:t>мієло</w:t>
      </w:r>
      <w:proofErr w:type="spellEnd"/>
      <w:r w:rsidRPr="00DE6244">
        <w:rPr>
          <w:rFonts w:ascii="Times New Roman" w:eastAsia="Times New Roman" w:hAnsi="Times New Roman" w:cs="Times New Roman"/>
          <w:sz w:val="24"/>
          <w:szCs w:val="24"/>
        </w:rPr>
        <w:t xml:space="preserve">- та/або </w:t>
      </w:r>
      <w:proofErr w:type="spellStart"/>
      <w:r w:rsidRPr="00DE6244">
        <w:rPr>
          <w:rFonts w:ascii="Times New Roman" w:eastAsia="Times New Roman" w:hAnsi="Times New Roman" w:cs="Times New Roman"/>
          <w:sz w:val="24"/>
          <w:szCs w:val="24"/>
        </w:rPr>
        <w:t>імуноаблятивної</w:t>
      </w:r>
      <w:proofErr w:type="spellEnd"/>
      <w:r w:rsidRPr="00DE6244">
        <w:rPr>
          <w:rFonts w:ascii="Times New Roman" w:eastAsia="Times New Roman" w:hAnsi="Times New Roman" w:cs="Times New Roman"/>
          <w:sz w:val="24"/>
          <w:szCs w:val="24"/>
        </w:rPr>
        <w:t xml:space="preserve"> хіміотерапії та/або радіотерапії) пацієнтам-реципієнтам ГСК, окрім випадків, коли проведення ТГСК можливо і без кондиціонування (тяжкі комбінова</w:t>
      </w:r>
      <w:r w:rsidRPr="00DE6244">
        <w:rPr>
          <w:rFonts w:ascii="Times New Roman" w:eastAsia="Times New Roman" w:hAnsi="Times New Roman" w:cs="Times New Roman"/>
          <w:sz w:val="24"/>
          <w:szCs w:val="24"/>
        </w:rPr>
        <w:t xml:space="preserve">ні </w:t>
      </w:r>
      <w:proofErr w:type="spellStart"/>
      <w:r w:rsidRPr="00DE6244">
        <w:rPr>
          <w:rFonts w:ascii="Times New Roman" w:eastAsia="Times New Roman" w:hAnsi="Times New Roman" w:cs="Times New Roman"/>
          <w:sz w:val="24"/>
          <w:szCs w:val="24"/>
        </w:rPr>
        <w:t>імунодефіцити</w:t>
      </w:r>
      <w:proofErr w:type="spellEnd"/>
      <w:r w:rsidRPr="00DE6244">
        <w:rPr>
          <w:rFonts w:ascii="Times New Roman" w:eastAsia="Times New Roman" w:hAnsi="Times New Roman" w:cs="Times New Roman"/>
          <w:sz w:val="24"/>
          <w:szCs w:val="24"/>
        </w:rPr>
        <w:t>).</w:t>
      </w:r>
    </w:p>
    <w:p w14:paraId="00FA8AC7"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Забезпечення проведення трансфузії (</w:t>
      </w:r>
      <w:proofErr w:type="spellStart"/>
      <w:r w:rsidRPr="00DE6244">
        <w:rPr>
          <w:rFonts w:ascii="Times New Roman" w:eastAsia="Times New Roman" w:hAnsi="Times New Roman" w:cs="Times New Roman"/>
          <w:sz w:val="24"/>
          <w:szCs w:val="24"/>
        </w:rPr>
        <w:t>реінфузія</w:t>
      </w:r>
      <w:proofErr w:type="spellEnd"/>
      <w:r w:rsidRPr="00DE6244">
        <w:rPr>
          <w:rFonts w:ascii="Times New Roman" w:eastAsia="Times New Roman" w:hAnsi="Times New Roman" w:cs="Times New Roman"/>
          <w:sz w:val="24"/>
          <w:szCs w:val="24"/>
        </w:rPr>
        <w:t xml:space="preserve"> – ауто ГСК) ГСК (трансплантації) пацієнтам - реципієнтам.</w:t>
      </w:r>
    </w:p>
    <w:p w14:paraId="7206F4AC"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Забезпечення заходів, спрямованих на профілактику реакції трансплантат проти господаря, неспроможності трансплантата, запобігання опортуністичним інфекціям та лікування ускладнень, а також забезпечення профілактики рецидиву захворювання, в тому числі з вик</w:t>
      </w:r>
      <w:r w:rsidRPr="00DE6244">
        <w:rPr>
          <w:rFonts w:ascii="Times New Roman" w:eastAsia="Times New Roman" w:hAnsi="Times New Roman" w:cs="Times New Roman"/>
          <w:sz w:val="24"/>
          <w:szCs w:val="24"/>
        </w:rPr>
        <w:t xml:space="preserve">ористанням донорських лімфоцитів (для центрів, які виконують </w:t>
      </w:r>
      <w:proofErr w:type="spellStart"/>
      <w:r w:rsidRPr="00DE6244">
        <w:rPr>
          <w:rFonts w:ascii="Times New Roman" w:eastAsia="Times New Roman" w:hAnsi="Times New Roman" w:cs="Times New Roman"/>
          <w:sz w:val="24"/>
          <w:szCs w:val="24"/>
        </w:rPr>
        <w:t>алогенну</w:t>
      </w:r>
      <w:proofErr w:type="spellEnd"/>
      <w:r w:rsidRPr="00DE6244">
        <w:rPr>
          <w:rFonts w:ascii="Times New Roman" w:eastAsia="Times New Roman" w:hAnsi="Times New Roman" w:cs="Times New Roman"/>
          <w:sz w:val="24"/>
          <w:szCs w:val="24"/>
        </w:rPr>
        <w:t xml:space="preserve"> трансплантацію).</w:t>
      </w:r>
    </w:p>
    <w:p w14:paraId="34CB307B"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необхідною </w:t>
      </w:r>
      <w:proofErr w:type="spellStart"/>
      <w:r w:rsidRPr="00DE6244">
        <w:rPr>
          <w:rFonts w:ascii="Times New Roman" w:eastAsia="Times New Roman" w:hAnsi="Times New Roman" w:cs="Times New Roman"/>
          <w:sz w:val="24"/>
          <w:szCs w:val="24"/>
        </w:rPr>
        <w:t>трансфузійною</w:t>
      </w:r>
      <w:proofErr w:type="spellEnd"/>
      <w:r w:rsidRPr="00DE6244">
        <w:rPr>
          <w:rFonts w:ascii="Times New Roman" w:eastAsia="Times New Roman" w:hAnsi="Times New Roman" w:cs="Times New Roman"/>
          <w:sz w:val="24"/>
          <w:szCs w:val="24"/>
        </w:rPr>
        <w:t xml:space="preserve"> підтримкою в цілодобовому режимі. Всі препарати крові обов’язково повинні бути опромінені, з метою інактивації лімфоцитів, та </w:t>
      </w:r>
      <w:proofErr w:type="spellStart"/>
      <w:r w:rsidRPr="00DE6244">
        <w:rPr>
          <w:rFonts w:ascii="Times New Roman" w:eastAsia="Times New Roman" w:hAnsi="Times New Roman" w:cs="Times New Roman"/>
          <w:sz w:val="24"/>
          <w:szCs w:val="24"/>
        </w:rPr>
        <w:t>лейко</w:t>
      </w:r>
      <w:r w:rsidRPr="00DE6244">
        <w:rPr>
          <w:rFonts w:ascii="Times New Roman" w:eastAsia="Times New Roman" w:hAnsi="Times New Roman" w:cs="Times New Roman"/>
          <w:sz w:val="24"/>
          <w:szCs w:val="24"/>
        </w:rPr>
        <w:t>деплетовані</w:t>
      </w:r>
      <w:proofErr w:type="spellEnd"/>
      <w:r w:rsidRPr="00DE6244">
        <w:rPr>
          <w:rFonts w:ascii="Times New Roman" w:eastAsia="Times New Roman" w:hAnsi="Times New Roman" w:cs="Times New Roman"/>
          <w:sz w:val="24"/>
          <w:szCs w:val="24"/>
        </w:rPr>
        <w:t>, окрім випадків використання гранулоцитів, відповідно нормативно-правових документів. Забезпечення цілодобового доступу до препаратів та компонентів крові. Забезпечення обов’язкової інактивації патогенів (опромінення компонентів крові, згідно з</w:t>
      </w:r>
      <w:r w:rsidRPr="00DE6244">
        <w:rPr>
          <w:rFonts w:ascii="Times New Roman" w:eastAsia="Times New Roman" w:hAnsi="Times New Roman" w:cs="Times New Roman"/>
          <w:sz w:val="24"/>
          <w:szCs w:val="24"/>
        </w:rPr>
        <w:t xml:space="preserve"> чинною нормативно-правовою документацію).</w:t>
      </w:r>
    </w:p>
    <w:p w14:paraId="36F85C30"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проведення </w:t>
      </w:r>
      <w:proofErr w:type="spellStart"/>
      <w:r w:rsidRPr="00DE6244">
        <w:rPr>
          <w:rFonts w:ascii="Times New Roman" w:eastAsia="Times New Roman" w:hAnsi="Times New Roman" w:cs="Times New Roman"/>
          <w:sz w:val="24"/>
          <w:szCs w:val="24"/>
        </w:rPr>
        <w:t>екстракорпорального</w:t>
      </w:r>
      <w:proofErr w:type="spellEnd"/>
      <w:r w:rsidRPr="00DE6244">
        <w:rPr>
          <w:rFonts w:ascii="Times New Roman" w:eastAsia="Times New Roman" w:hAnsi="Times New Roman" w:cs="Times New Roman"/>
          <w:sz w:val="24"/>
          <w:szCs w:val="24"/>
        </w:rPr>
        <w:t xml:space="preserve"> </w:t>
      </w:r>
      <w:proofErr w:type="spellStart"/>
      <w:r w:rsidRPr="00DE6244">
        <w:rPr>
          <w:rFonts w:ascii="Times New Roman" w:eastAsia="Times New Roman" w:hAnsi="Times New Roman" w:cs="Times New Roman"/>
          <w:sz w:val="24"/>
          <w:szCs w:val="24"/>
        </w:rPr>
        <w:t>фотофорезу</w:t>
      </w:r>
      <w:proofErr w:type="spellEnd"/>
      <w:r w:rsidRPr="00DE6244">
        <w:rPr>
          <w:rFonts w:ascii="Times New Roman" w:eastAsia="Times New Roman" w:hAnsi="Times New Roman" w:cs="Times New Roman"/>
          <w:sz w:val="24"/>
          <w:szCs w:val="24"/>
        </w:rPr>
        <w:t xml:space="preserve"> (</w:t>
      </w:r>
      <w:proofErr w:type="spellStart"/>
      <w:r w:rsidRPr="00DE6244">
        <w:rPr>
          <w:rFonts w:ascii="Times New Roman" w:eastAsia="Times New Roman" w:hAnsi="Times New Roman" w:cs="Times New Roman"/>
          <w:sz w:val="24"/>
          <w:szCs w:val="24"/>
        </w:rPr>
        <w:t>Extracorporeal</w:t>
      </w:r>
      <w:proofErr w:type="spellEnd"/>
      <w:r w:rsidRPr="00DE6244">
        <w:rPr>
          <w:rFonts w:ascii="Times New Roman" w:eastAsia="Times New Roman" w:hAnsi="Times New Roman" w:cs="Times New Roman"/>
          <w:sz w:val="24"/>
          <w:szCs w:val="24"/>
        </w:rPr>
        <w:t xml:space="preserve"> </w:t>
      </w:r>
      <w:proofErr w:type="spellStart"/>
      <w:r w:rsidRPr="00DE6244">
        <w:rPr>
          <w:rFonts w:ascii="Times New Roman" w:eastAsia="Times New Roman" w:hAnsi="Times New Roman" w:cs="Times New Roman"/>
          <w:sz w:val="24"/>
          <w:szCs w:val="24"/>
        </w:rPr>
        <w:t>photopheresis</w:t>
      </w:r>
      <w:proofErr w:type="spellEnd"/>
      <w:r w:rsidRPr="00DE6244">
        <w:rPr>
          <w:rFonts w:ascii="Times New Roman" w:eastAsia="Times New Roman" w:hAnsi="Times New Roman" w:cs="Times New Roman"/>
          <w:sz w:val="24"/>
          <w:szCs w:val="24"/>
        </w:rPr>
        <w:t xml:space="preserve"> (ECP)) (для ЗОЗ, які проводять </w:t>
      </w:r>
      <w:proofErr w:type="spellStart"/>
      <w:r w:rsidRPr="00DE6244">
        <w:rPr>
          <w:rFonts w:ascii="Times New Roman" w:eastAsia="Times New Roman" w:hAnsi="Times New Roman" w:cs="Times New Roman"/>
          <w:sz w:val="24"/>
          <w:szCs w:val="24"/>
        </w:rPr>
        <w:t>алогенну</w:t>
      </w:r>
      <w:proofErr w:type="spellEnd"/>
      <w:r w:rsidRPr="00DE6244">
        <w:rPr>
          <w:rFonts w:ascii="Times New Roman" w:eastAsia="Times New Roman" w:hAnsi="Times New Roman" w:cs="Times New Roman"/>
          <w:sz w:val="24"/>
          <w:szCs w:val="24"/>
        </w:rPr>
        <w:t xml:space="preserve"> ТГСК). </w:t>
      </w:r>
    </w:p>
    <w:p w14:paraId="2928B144"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Забезпечення надання пацієнтам послуг з реабілітації в гострому періоді реабіліт</w:t>
      </w:r>
      <w:r w:rsidRPr="00DE6244">
        <w:rPr>
          <w:rFonts w:ascii="Times New Roman" w:eastAsia="Times New Roman" w:hAnsi="Times New Roman" w:cs="Times New Roman"/>
          <w:sz w:val="24"/>
          <w:szCs w:val="24"/>
        </w:rPr>
        <w:t xml:space="preserve">ації (за відсутності протипоказань) в стаціонарних умовах та направлення пацієнтів для отримання реабілітаційної допомоги у </w:t>
      </w:r>
      <w:proofErr w:type="spellStart"/>
      <w:r w:rsidRPr="00DE6244">
        <w:rPr>
          <w:rFonts w:ascii="Times New Roman" w:eastAsia="Times New Roman" w:hAnsi="Times New Roman" w:cs="Times New Roman"/>
          <w:sz w:val="24"/>
          <w:szCs w:val="24"/>
        </w:rPr>
        <w:t>післягострому</w:t>
      </w:r>
      <w:proofErr w:type="spellEnd"/>
      <w:r w:rsidRPr="00DE6244">
        <w:rPr>
          <w:rFonts w:ascii="Times New Roman" w:eastAsia="Times New Roman" w:hAnsi="Times New Roman" w:cs="Times New Roman"/>
          <w:sz w:val="24"/>
          <w:szCs w:val="24"/>
        </w:rPr>
        <w:t xml:space="preserve"> та довготривалому періодах реабілітації. </w:t>
      </w:r>
    </w:p>
    <w:p w14:paraId="7B3D7AD6"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цілодобового лікарського та </w:t>
      </w:r>
      <w:proofErr w:type="spellStart"/>
      <w:r w:rsidRPr="00DE6244">
        <w:rPr>
          <w:rFonts w:ascii="Times New Roman" w:eastAsia="Times New Roman" w:hAnsi="Times New Roman" w:cs="Times New Roman"/>
          <w:sz w:val="24"/>
          <w:szCs w:val="24"/>
        </w:rPr>
        <w:t>медсестринського</w:t>
      </w:r>
      <w:proofErr w:type="spellEnd"/>
      <w:r w:rsidRPr="00DE6244">
        <w:rPr>
          <w:rFonts w:ascii="Times New Roman" w:eastAsia="Times New Roman" w:hAnsi="Times New Roman" w:cs="Times New Roman"/>
          <w:sz w:val="24"/>
          <w:szCs w:val="24"/>
        </w:rPr>
        <w:t xml:space="preserve"> догляду за пацієнт</w:t>
      </w:r>
      <w:r w:rsidRPr="00DE6244">
        <w:rPr>
          <w:rFonts w:ascii="Times New Roman" w:eastAsia="Times New Roman" w:hAnsi="Times New Roman" w:cs="Times New Roman"/>
          <w:sz w:val="24"/>
          <w:szCs w:val="24"/>
        </w:rPr>
        <w:t xml:space="preserve">ами, через залучення середнього медичного персоналу. </w:t>
      </w:r>
    </w:p>
    <w:p w14:paraId="0AFD0C2B"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Забезпечення пацієнтів зі встановленим діагнозом лікарськими засобами для проведення спеціального лікування та супровідної терапії, постачання яких здійснюється шляхом централізованих </w:t>
      </w:r>
      <w:proofErr w:type="spellStart"/>
      <w:r w:rsidRPr="00DE6244">
        <w:rPr>
          <w:rFonts w:ascii="Times New Roman" w:eastAsia="Times New Roman" w:hAnsi="Times New Roman" w:cs="Times New Roman"/>
          <w:sz w:val="24"/>
          <w:szCs w:val="24"/>
        </w:rPr>
        <w:t>закупівель</w:t>
      </w:r>
      <w:proofErr w:type="spellEnd"/>
      <w:r w:rsidRPr="00DE6244">
        <w:rPr>
          <w:rFonts w:ascii="Times New Roman" w:eastAsia="Times New Roman" w:hAnsi="Times New Roman" w:cs="Times New Roman"/>
          <w:sz w:val="24"/>
          <w:szCs w:val="24"/>
        </w:rPr>
        <w:t xml:space="preserve"> МОЗ, за</w:t>
      </w:r>
      <w:r w:rsidRPr="00DE6244">
        <w:rPr>
          <w:rFonts w:ascii="Times New Roman" w:eastAsia="Times New Roman" w:hAnsi="Times New Roman" w:cs="Times New Roman"/>
          <w:sz w:val="24"/>
          <w:szCs w:val="24"/>
        </w:rPr>
        <w:t xml:space="preserve">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w:t>
      </w:r>
      <w:r w:rsidRPr="00DE6244">
        <w:rPr>
          <w:rFonts w:ascii="Times New Roman" w:eastAsia="Times New Roman" w:hAnsi="Times New Roman" w:cs="Times New Roman"/>
          <w:sz w:val="24"/>
          <w:szCs w:val="24"/>
        </w:rPr>
        <w:t>рони здоров’я та медико-технологічних документів.</w:t>
      </w:r>
    </w:p>
    <w:p w14:paraId="368A75FB"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Наявність протоколу утилізації та знищення залишків лікарських засобів.</w:t>
      </w:r>
    </w:p>
    <w:p w14:paraId="5BFA54E5"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Взаємодія з іншими надавачами медичних послуг, центрами соціальних служб для сім’ї, дітей та молоді, службами у справах дітей, територ</w:t>
      </w:r>
      <w:r w:rsidRPr="00DE6244">
        <w:rPr>
          <w:rFonts w:ascii="Times New Roman" w:eastAsia="Times New Roman" w:hAnsi="Times New Roman" w:cs="Times New Roman"/>
          <w:sz w:val="24"/>
          <w:szCs w:val="24"/>
        </w:rPr>
        <w:t>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w:t>
      </w:r>
      <w:r w:rsidRPr="00DE6244">
        <w:rPr>
          <w:rFonts w:ascii="Times New Roman" w:eastAsia="Times New Roman" w:hAnsi="Times New Roman" w:cs="Times New Roman"/>
          <w:sz w:val="24"/>
          <w:szCs w:val="24"/>
        </w:rPr>
        <w:t xml:space="preserve">цевого самоврядування на території обслуговування в інтересах своєчасного та ефективного надання допомоги пацієнтам. </w:t>
      </w:r>
    </w:p>
    <w:p w14:paraId="25085F54"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Обов’язкове інформування пацієнтів щодо можливості безоплатного отримання інших необхідних медичних послуг, виписки рецептів для отримання</w:t>
      </w:r>
      <w:r w:rsidRPr="00DE6244">
        <w:rPr>
          <w:rFonts w:ascii="Times New Roman" w:eastAsia="Times New Roman" w:hAnsi="Times New Roman" w:cs="Times New Roman"/>
          <w:sz w:val="24"/>
          <w:szCs w:val="24"/>
        </w:rPr>
        <w:t xml:space="preserve"> </w:t>
      </w:r>
      <w:proofErr w:type="spellStart"/>
      <w:r w:rsidRPr="00DE6244">
        <w:rPr>
          <w:rFonts w:ascii="Times New Roman" w:eastAsia="Times New Roman" w:hAnsi="Times New Roman" w:cs="Times New Roman"/>
          <w:sz w:val="24"/>
          <w:szCs w:val="24"/>
        </w:rPr>
        <w:t>імуносупресивних</w:t>
      </w:r>
      <w:proofErr w:type="spellEnd"/>
      <w:r w:rsidRPr="00DE6244">
        <w:rPr>
          <w:rFonts w:ascii="Times New Roman" w:eastAsia="Times New Roman" w:hAnsi="Times New Roman" w:cs="Times New Roman"/>
          <w:sz w:val="24"/>
          <w:szCs w:val="24"/>
        </w:rPr>
        <w:t xml:space="preserve"> лікарських засобів, які передбачені програмою </w:t>
      </w:r>
      <w:proofErr w:type="spellStart"/>
      <w:r w:rsidRPr="00DE6244">
        <w:rPr>
          <w:rFonts w:ascii="Times New Roman" w:eastAsia="Times New Roman" w:hAnsi="Times New Roman" w:cs="Times New Roman"/>
          <w:sz w:val="24"/>
          <w:szCs w:val="24"/>
        </w:rPr>
        <w:t>реімбурсації</w:t>
      </w:r>
      <w:proofErr w:type="spellEnd"/>
      <w:r w:rsidRPr="00DE6244">
        <w:rPr>
          <w:rFonts w:ascii="Times New Roman" w:eastAsia="Times New Roman" w:hAnsi="Times New Roman" w:cs="Times New Roman"/>
          <w:sz w:val="24"/>
          <w:szCs w:val="24"/>
        </w:rPr>
        <w:t>, в рамках програми медичних гарантій.</w:t>
      </w:r>
    </w:p>
    <w:p w14:paraId="699753C0"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lastRenderedPageBreak/>
        <w:t>Інформування пацієнтів щодо можливостей профілактики та лікування, залучення до ухвалення рішень щодо їх здоров'я, узгодження плану лікування</w:t>
      </w:r>
      <w:r w:rsidRPr="00DE6244">
        <w:rPr>
          <w:rFonts w:ascii="Times New Roman" w:eastAsia="Times New Roman" w:hAnsi="Times New Roman" w:cs="Times New Roman"/>
          <w:sz w:val="24"/>
          <w:szCs w:val="24"/>
        </w:rPr>
        <w:t xml:space="preserve"> з пацієнтами відповідно до їх очікувань та можливостей. </w:t>
      </w:r>
    </w:p>
    <w:p w14:paraId="0E491A52"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Забезпечення права пацієнтів, які перебувають на лікуванні у відділенні інтенсивної терапії, на допуск до нього/неї відвідувачів 24 години на добу в будь-який день тижня згідно з правилами, визначен</w:t>
      </w:r>
      <w:r w:rsidRPr="00DE6244">
        <w:rPr>
          <w:rFonts w:ascii="Times New Roman" w:eastAsia="Times New Roman" w:hAnsi="Times New Roman" w:cs="Times New Roman"/>
          <w:sz w:val="24"/>
          <w:szCs w:val="24"/>
        </w:rPr>
        <w:t xml:space="preserve">ими чинними нормативно-правовими актами. </w:t>
      </w:r>
    </w:p>
    <w:p w14:paraId="4CE92F91"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b/>
          <w:sz w:val="24"/>
          <w:szCs w:val="24"/>
        </w:rPr>
        <w:t>Наявність плану дій з профілактики інфекцій та інфекційного контролю та стандартних операційних процедур, відповідно до чинного законодавства.</w:t>
      </w:r>
      <w:r w:rsidRPr="00DE6244">
        <w:rPr>
          <w:rFonts w:ascii="Times New Roman" w:eastAsia="Times New Roman" w:hAnsi="Times New Roman" w:cs="Times New Roman"/>
          <w:sz w:val="24"/>
          <w:szCs w:val="24"/>
        </w:rPr>
        <w:t xml:space="preserve"> </w:t>
      </w:r>
    </w:p>
    <w:p w14:paraId="138BEB3B"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b/>
          <w:sz w:val="24"/>
          <w:szCs w:val="24"/>
        </w:rPr>
        <w:t>Наявність плану протиепідемічної готовності / реагування на випадок ви</w:t>
      </w:r>
      <w:r w:rsidRPr="00DE6244">
        <w:rPr>
          <w:rFonts w:ascii="Times New Roman" w:eastAsia="Times New Roman" w:hAnsi="Times New Roman" w:cs="Times New Roman"/>
          <w:b/>
          <w:sz w:val="24"/>
          <w:szCs w:val="24"/>
        </w:rPr>
        <w:t xml:space="preserve">явлення особливо небезпечних інфекційних </w:t>
      </w:r>
      <w:proofErr w:type="spellStart"/>
      <w:r w:rsidRPr="00DE6244">
        <w:rPr>
          <w:rFonts w:ascii="Times New Roman" w:eastAsia="Times New Roman" w:hAnsi="Times New Roman" w:cs="Times New Roman"/>
          <w:b/>
          <w:sz w:val="24"/>
          <w:szCs w:val="24"/>
        </w:rPr>
        <w:t>хвороб</w:t>
      </w:r>
      <w:proofErr w:type="spellEnd"/>
      <w:r w:rsidRPr="00DE6244">
        <w:rPr>
          <w:rFonts w:ascii="Times New Roman" w:eastAsia="Times New Roman" w:hAnsi="Times New Roman" w:cs="Times New Roman"/>
          <w:b/>
          <w:sz w:val="24"/>
          <w:szCs w:val="24"/>
        </w:rPr>
        <w:t>.</w:t>
      </w:r>
      <w:r w:rsidRPr="00DE6244">
        <w:rPr>
          <w:rFonts w:ascii="Times New Roman" w:eastAsia="Times New Roman" w:hAnsi="Times New Roman" w:cs="Times New Roman"/>
          <w:sz w:val="24"/>
          <w:szCs w:val="24"/>
        </w:rPr>
        <w:t xml:space="preserve"> </w:t>
      </w:r>
    </w:p>
    <w:p w14:paraId="0C909CF2"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w:t>
      </w:r>
      <w:r w:rsidRPr="00DE6244">
        <w:rPr>
          <w:rFonts w:ascii="Times New Roman" w:eastAsia="Times New Roman" w:hAnsi="Times New Roman" w:cs="Times New Roman"/>
          <w:sz w:val="24"/>
          <w:szCs w:val="24"/>
        </w:rPr>
        <w:t>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w:t>
      </w:r>
      <w:r w:rsidRPr="00DE6244">
        <w:rPr>
          <w:rFonts w:ascii="Times New Roman" w:eastAsia="Times New Roman" w:hAnsi="Times New Roman" w:cs="Times New Roman"/>
          <w:sz w:val="24"/>
          <w:szCs w:val="24"/>
        </w:rPr>
        <w:t>лежної якості.</w:t>
      </w:r>
    </w:p>
    <w:p w14:paraId="433323A7"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w:t>
      </w:r>
      <w:r w:rsidRPr="00DE6244">
        <w:rPr>
          <w:rFonts w:ascii="Times New Roman" w:eastAsia="Times New Roman" w:hAnsi="Times New Roman" w:cs="Times New Roman"/>
          <w:sz w:val="24"/>
          <w:szCs w:val="24"/>
        </w:rPr>
        <w:t xml:space="preserve">доров’я. </w:t>
      </w:r>
    </w:p>
    <w:p w14:paraId="6F2FD4C2"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sidRPr="00DE6244">
        <w:rPr>
          <w:rFonts w:ascii="Times New Roman" w:eastAsia="Times New Roman" w:hAnsi="Times New Roman" w:cs="Times New Roman"/>
          <w:sz w:val="24"/>
          <w:szCs w:val="24"/>
        </w:rPr>
        <w:t>закупівель</w:t>
      </w:r>
      <w:proofErr w:type="spellEnd"/>
      <w:r w:rsidRPr="00DE6244">
        <w:rPr>
          <w:rFonts w:ascii="Times New Roman" w:eastAsia="Times New Roman" w:hAnsi="Times New Roman" w:cs="Times New Roman"/>
          <w:sz w:val="24"/>
          <w:szCs w:val="24"/>
        </w:rPr>
        <w:t xml:space="preserve"> МОЗ. Використання та збереження залишків лікарських засобів та медичних вироб</w:t>
      </w:r>
      <w:r w:rsidRPr="00DE6244">
        <w:rPr>
          <w:rFonts w:ascii="Times New Roman" w:eastAsia="Times New Roman" w:hAnsi="Times New Roman" w:cs="Times New Roman"/>
          <w:sz w:val="24"/>
          <w:szCs w:val="24"/>
        </w:rPr>
        <w:t>ів, необхідних для лікування пацієнтів, зокрема після закінчення дії договору з НСЗУ.</w:t>
      </w:r>
    </w:p>
    <w:p w14:paraId="3F46CAFD"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w:t>
      </w:r>
      <w:r w:rsidRPr="00DE6244">
        <w:rPr>
          <w:rFonts w:ascii="Times New Roman" w:eastAsia="Times New Roman" w:hAnsi="Times New Roman" w:cs="Times New Roman"/>
          <w:sz w:val="24"/>
          <w:szCs w:val="24"/>
        </w:rPr>
        <w:t>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14:paraId="22C30DC6" w14:textId="77777777" w:rsidR="00DE6244"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rPr>
        <w:t>Дотримання вимог законодавства у сфері протидії насильству, в тому числі виявлення ознак насильства у па</w:t>
      </w:r>
      <w:r w:rsidRPr="00DE6244">
        <w:rPr>
          <w:rFonts w:ascii="Times New Roman" w:eastAsia="Times New Roman" w:hAnsi="Times New Roman" w:cs="Times New Roman"/>
          <w:sz w:val="24"/>
          <w:szCs w:val="24"/>
        </w:rPr>
        <w:t>цієнтів та повідомлення відповідних служб згідно із затвердженим законодавством.</w:t>
      </w:r>
    </w:p>
    <w:p w14:paraId="00000231" w14:textId="20C0E2A1" w:rsidR="005B5750" w:rsidRPr="00DE6244" w:rsidRDefault="00E241CC" w:rsidP="00DE6244">
      <w:pPr>
        <w:pStyle w:val="a4"/>
        <w:numPr>
          <w:ilvl w:val="0"/>
          <w:numId w:val="33"/>
        </w:numPr>
        <w:shd w:val="clear" w:color="auto" w:fill="FFFFFF"/>
        <w:spacing w:before="240" w:after="0" w:line="276" w:lineRule="auto"/>
        <w:jc w:val="both"/>
        <w:rPr>
          <w:rFonts w:ascii="Times New Roman" w:eastAsia="Times New Roman" w:hAnsi="Times New Roman" w:cs="Times New Roman"/>
          <w:i/>
          <w:sz w:val="24"/>
          <w:szCs w:val="24"/>
        </w:rPr>
      </w:pPr>
      <w:r w:rsidRPr="00DE6244">
        <w:rPr>
          <w:rFonts w:ascii="Times New Roman" w:eastAsia="Times New Roman" w:hAnsi="Times New Roman" w:cs="Times New Roman"/>
          <w:sz w:val="24"/>
          <w:szCs w:val="24"/>
          <w:highlight w:val="white"/>
        </w:rPr>
        <w:t xml:space="preserve">Забезпечення дотримання принципів </w:t>
      </w:r>
      <w:proofErr w:type="spellStart"/>
      <w:r w:rsidRPr="00DE6244">
        <w:rPr>
          <w:rFonts w:ascii="Times New Roman" w:eastAsia="Times New Roman" w:hAnsi="Times New Roman" w:cs="Times New Roman"/>
          <w:sz w:val="24"/>
          <w:szCs w:val="24"/>
          <w:highlight w:val="white"/>
        </w:rPr>
        <w:t>безбар’єрності</w:t>
      </w:r>
      <w:proofErr w:type="spellEnd"/>
      <w:r w:rsidRPr="00DE6244">
        <w:rPr>
          <w:rFonts w:ascii="Times New Roman" w:eastAsia="Times New Roman" w:hAnsi="Times New Roman" w:cs="Times New Roman"/>
          <w:sz w:val="24"/>
          <w:szCs w:val="24"/>
          <w:highlight w:val="whit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14:paraId="00000232"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Вимоги до спеціалістів та кількості фахівців, які працюють на посадах: </w:t>
      </w:r>
    </w:p>
    <w:p w14:paraId="00000233"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 місцем над</w:t>
      </w:r>
      <w:r>
        <w:rPr>
          <w:rFonts w:ascii="Times New Roman" w:eastAsia="Times New Roman" w:hAnsi="Times New Roman" w:cs="Times New Roman"/>
          <w:sz w:val="24"/>
          <w:szCs w:val="24"/>
        </w:rPr>
        <w:t xml:space="preserve">ання медичних послуг: </w:t>
      </w:r>
    </w:p>
    <w:p w14:paraId="00000234"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Лікар-гематолог та/або лікар-гематолог дитячий, та/або лікар-гематолог-онколог дитячий стаж роботи за спеціальністю має становити від 3-х років – щонайменше 3 особи із зазначеного переліку, які працюють за основним місцем роботи в цьому ЗОЗ. </w:t>
      </w:r>
    </w:p>
    <w:p w14:paraId="00000235"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Сестр</w:t>
      </w:r>
      <w:r>
        <w:rPr>
          <w:rFonts w:ascii="Times New Roman" w:eastAsia="Times New Roman" w:hAnsi="Times New Roman" w:cs="Times New Roman"/>
          <w:sz w:val="24"/>
          <w:szCs w:val="24"/>
        </w:rPr>
        <w:t xml:space="preserve">а медична (брат медичний) – щонайменше 8 осіб, які працюють за основним місцем роботи в структурному підрозділі (цілодобовий пост). </w:t>
      </w:r>
    </w:p>
    <w:p w14:paraId="00000236"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w:t>
      </w:r>
    </w:p>
    <w:p w14:paraId="00000237" w14:textId="77777777" w:rsidR="005B5750" w:rsidRDefault="00E241CC">
      <w:pPr>
        <w:shd w:val="clear" w:color="auto" w:fill="FFFFFF"/>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Лікар-анестезіолог та/або лікар-анестезіолог дитячий – щонайменше 4 особи із зазначеного перелі</w:t>
      </w:r>
      <w:r>
        <w:rPr>
          <w:rFonts w:ascii="Times New Roman" w:eastAsia="Times New Roman" w:hAnsi="Times New Roman" w:cs="Times New Roman"/>
          <w:sz w:val="24"/>
          <w:szCs w:val="24"/>
          <w:highlight w:val="white"/>
        </w:rPr>
        <w:t>ку, які працюють за основним місцем роботи в цьому ЗОЗ (цілодобовий пост).</w:t>
      </w:r>
    </w:p>
    <w:p w14:paraId="00000238"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w:t>
      </w:r>
      <w:proofErr w:type="spellStart"/>
      <w:r>
        <w:rPr>
          <w:rFonts w:ascii="Times New Roman" w:eastAsia="Times New Roman" w:hAnsi="Times New Roman" w:cs="Times New Roman"/>
          <w:sz w:val="24"/>
          <w:szCs w:val="24"/>
        </w:rPr>
        <w:t>трансфузіолог</w:t>
      </w:r>
      <w:proofErr w:type="spellEnd"/>
      <w:r>
        <w:rPr>
          <w:rFonts w:ascii="Times New Roman" w:eastAsia="Times New Roman" w:hAnsi="Times New Roman" w:cs="Times New Roman"/>
          <w:sz w:val="24"/>
          <w:szCs w:val="24"/>
        </w:rPr>
        <w:t xml:space="preserve"> – щонайменше 2 особи, які працюють за основним місцем роботи в цьому ЗОЗ або за сумісництвом.</w:t>
      </w:r>
    </w:p>
    <w:p w14:paraId="00000239"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Лікар-хірург та/або лікар-хірург </w:t>
      </w:r>
      <w:r>
        <w:rPr>
          <w:rFonts w:ascii="Times New Roman" w:eastAsia="Times New Roman" w:hAnsi="Times New Roman" w:cs="Times New Roman"/>
          <w:sz w:val="24"/>
          <w:szCs w:val="24"/>
        </w:rPr>
        <w:t xml:space="preserve">дитячий, та/або лікар-хірург-онколог – щонайменше 2 особи із зазначеного переліку, які працює за основним місцем роботи в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w:t>
      </w:r>
    </w:p>
    <w:p w14:paraId="0000023A"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Лікар-педіатр та/або лікар-терапевт - щонайменше 2 особи, які працюють за основним місцем роботи в цьому З</w:t>
      </w:r>
      <w:r>
        <w:rPr>
          <w:rFonts w:ascii="Times New Roman" w:eastAsia="Times New Roman" w:hAnsi="Times New Roman" w:cs="Times New Roman"/>
          <w:sz w:val="24"/>
          <w:szCs w:val="24"/>
        </w:rPr>
        <w:t>ОЗ.</w:t>
      </w:r>
    </w:p>
    <w:p w14:paraId="0000023B"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Лікар-рентгенолог – щонайменше одна особа, яка працює за основним місцем роботи в цьому закладі</w:t>
      </w:r>
    </w:p>
    <w:p w14:paraId="0000023C"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 з ультразвукової діагностики – щонайменше 2 особи, які працюють за основним місцем роботи в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w:t>
      </w:r>
    </w:p>
    <w:p w14:paraId="0000023D"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w:t>
      </w:r>
      <w:proofErr w:type="spellStart"/>
      <w:r>
        <w:rPr>
          <w:rFonts w:ascii="Times New Roman" w:eastAsia="Times New Roman" w:hAnsi="Times New Roman" w:cs="Times New Roman"/>
          <w:sz w:val="24"/>
          <w:szCs w:val="24"/>
        </w:rPr>
        <w:t>ендоскопіст</w:t>
      </w:r>
      <w:proofErr w:type="spellEnd"/>
      <w:r>
        <w:rPr>
          <w:rFonts w:ascii="Times New Roman" w:eastAsia="Times New Roman" w:hAnsi="Times New Roman" w:cs="Times New Roman"/>
          <w:sz w:val="24"/>
          <w:szCs w:val="24"/>
        </w:rPr>
        <w:t xml:space="preserve"> та/або дитячий хірург, який пройшов підготовку з ендоскопії в педіатрії – щонайменше 1 особа, яка працює за основним місцем роботи в цьому ЗОЗ або за сумісництвом.</w:t>
      </w:r>
    </w:p>
    <w:p w14:paraId="0000023E"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Лікар-невропатолог та/або лікар-невролог дитячий – </w:t>
      </w:r>
      <w:r>
        <w:rPr>
          <w:rFonts w:ascii="Times New Roman" w:eastAsia="Times New Roman" w:hAnsi="Times New Roman" w:cs="Times New Roman"/>
          <w:sz w:val="24"/>
          <w:szCs w:val="24"/>
        </w:rPr>
        <w:t xml:space="preserve">щонайменше одна особа, яка працює за основним місцем роботи в цьому ЗОЗ або за сумісництвом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 </w:t>
      </w:r>
    </w:p>
    <w:p w14:paraId="0000023F"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Лікар-офтальмолог та/або лікар-офтальмолог дитячий– щонайменше одна особа, яка працює за основним місцем роботи в цьому ЗОЗ або за сумісництвом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 </w:t>
      </w:r>
    </w:p>
    <w:p w14:paraId="00000240"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Лікар-акушер-гінеколог та/або лікар-гінеколог дитячог</w:t>
      </w:r>
      <w:r>
        <w:rPr>
          <w:rFonts w:ascii="Times New Roman" w:eastAsia="Times New Roman" w:hAnsi="Times New Roman" w:cs="Times New Roman"/>
          <w:sz w:val="24"/>
          <w:szCs w:val="24"/>
        </w:rPr>
        <w:t>о та підліткового віку та/або лікар-гінеколог-онколог – щонайменше одна особа, яка працює за основним місцем роботи в цьому ЗОЗ або за сумісництвом.</w:t>
      </w:r>
    </w:p>
    <w:p w14:paraId="00000241"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Лікар-нефролог та/або лікар-нефролог дитячий– щонайменше одна особа, яка працює за основни</w:t>
      </w:r>
      <w:r>
        <w:rPr>
          <w:rFonts w:ascii="Times New Roman" w:eastAsia="Times New Roman" w:hAnsi="Times New Roman" w:cs="Times New Roman"/>
          <w:sz w:val="24"/>
          <w:szCs w:val="24"/>
        </w:rPr>
        <w:t xml:space="preserve">м місцем роботи в цьому ЗОЗ або за сумісництвом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 </w:t>
      </w:r>
    </w:p>
    <w:p w14:paraId="00000242"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 уролог та/або лікар- уролог дитячий – щонайменше одна особа, яка працює за основним місцем роботи в цьому ЗОЗ або за сумісництвом (для ЗОЗ, як</w:t>
      </w:r>
      <w:r>
        <w:rPr>
          <w:rFonts w:ascii="Times New Roman" w:eastAsia="Times New Roman" w:hAnsi="Times New Roman" w:cs="Times New Roman"/>
          <w:sz w:val="24"/>
          <w:szCs w:val="24"/>
        </w:rPr>
        <w:t xml:space="preserve">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 </w:t>
      </w:r>
    </w:p>
    <w:p w14:paraId="00000243"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Лікар- ендокринолог та/або лікар - ендокринолог дитячий – щонайменше одна особа, яка працює за основним місцем роботи в цьому ЗОЗ або за сумісництвом (для ЗОЗ, які проводять </w:t>
      </w:r>
      <w:proofErr w:type="spellStart"/>
      <w:r>
        <w:rPr>
          <w:rFonts w:ascii="Times New Roman" w:eastAsia="Times New Roman" w:hAnsi="Times New Roman" w:cs="Times New Roman"/>
          <w:sz w:val="24"/>
          <w:szCs w:val="24"/>
        </w:rPr>
        <w:t>алогенну</w:t>
      </w:r>
      <w:proofErr w:type="spellEnd"/>
      <w:r>
        <w:rPr>
          <w:rFonts w:ascii="Times New Roman" w:eastAsia="Times New Roman" w:hAnsi="Times New Roman" w:cs="Times New Roman"/>
          <w:sz w:val="24"/>
          <w:szCs w:val="24"/>
        </w:rPr>
        <w:t xml:space="preserve"> ТГСК). </w:t>
      </w:r>
    </w:p>
    <w:p w14:paraId="00000244"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w:t>
      </w:r>
      <w:r>
        <w:rPr>
          <w:rFonts w:ascii="Times New Roman" w:eastAsia="Times New Roman" w:hAnsi="Times New Roman" w:cs="Times New Roman"/>
          <w:sz w:val="24"/>
          <w:szCs w:val="24"/>
        </w:rPr>
        <w:t xml:space="preserve">р-лаборант та/або спеціаліст з лабораторної діагностики з вищою освітою зі спеціальною підготовкою в діагностиці дитячих/дорослих </w:t>
      </w:r>
      <w:proofErr w:type="spellStart"/>
      <w:r>
        <w:rPr>
          <w:rFonts w:ascii="Times New Roman" w:eastAsia="Times New Roman" w:hAnsi="Times New Roman" w:cs="Times New Roman"/>
          <w:sz w:val="24"/>
          <w:szCs w:val="24"/>
        </w:rPr>
        <w:t>онкогематологічних</w:t>
      </w:r>
      <w:proofErr w:type="spellEnd"/>
      <w:r>
        <w:rPr>
          <w:rFonts w:ascii="Times New Roman" w:eastAsia="Times New Roman" w:hAnsi="Times New Roman" w:cs="Times New Roman"/>
          <w:sz w:val="24"/>
          <w:szCs w:val="24"/>
        </w:rPr>
        <w:t xml:space="preserve"> та гематологічних захворювань (зокрема аспіратів кісткового мозку) – щонайменше 2 особи із зазначеного пере</w:t>
      </w:r>
      <w:r>
        <w:rPr>
          <w:rFonts w:ascii="Times New Roman" w:eastAsia="Times New Roman" w:hAnsi="Times New Roman" w:cs="Times New Roman"/>
          <w:sz w:val="24"/>
          <w:szCs w:val="24"/>
        </w:rPr>
        <w:t xml:space="preserve">ліку, які працюють за основним місцем роботи в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w:t>
      </w:r>
    </w:p>
    <w:p w14:paraId="00000245"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Лікар-лаборант-імунолог та/або імунолог - щонайменше 1 особа, яка працює за основним місцем роботи в цьому ЗОЗ або за сумісництвом.</w:t>
      </w:r>
    </w:p>
    <w:p w14:paraId="00000246"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Лікар-психолог та/або психолог,</w:t>
      </w:r>
      <w:r>
        <w:rPr>
          <w:rFonts w:ascii="Times New Roman" w:eastAsia="Times New Roman" w:hAnsi="Times New Roman" w:cs="Times New Roman"/>
          <w:sz w:val="24"/>
          <w:szCs w:val="24"/>
        </w:rPr>
        <w:t xml:space="preserve"> та/або лікар-психотерапевт та/або лікар-психіатр та/або лікар-психіатр дитячий, та/або психотерапевт та/або клінічний психолог – щонайменше 2 особи із зазначеного переліку, які працюють за основним місцем роботи у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w:t>
      </w:r>
    </w:p>
    <w:p w14:paraId="00000247"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Лікар з фізи</w:t>
      </w:r>
      <w:r>
        <w:rPr>
          <w:rFonts w:ascii="Times New Roman" w:eastAsia="Times New Roman" w:hAnsi="Times New Roman" w:cs="Times New Roman"/>
          <w:sz w:val="24"/>
          <w:szCs w:val="24"/>
        </w:rPr>
        <w:t xml:space="preserve">чної та реабілітаційної медицини та/або лікар з лікувальної фізкультури, та/або лікар з лікувальної фізкультури і спортивної медицини, та/або фізичний терапевт, та/або </w:t>
      </w:r>
      <w:proofErr w:type="spellStart"/>
      <w:r>
        <w:rPr>
          <w:rFonts w:ascii="Times New Roman" w:eastAsia="Times New Roman" w:hAnsi="Times New Roman" w:cs="Times New Roman"/>
          <w:sz w:val="24"/>
          <w:szCs w:val="24"/>
        </w:rPr>
        <w:t>ерготерапевт</w:t>
      </w:r>
      <w:proofErr w:type="spellEnd"/>
      <w:r>
        <w:rPr>
          <w:rFonts w:ascii="Times New Roman" w:eastAsia="Times New Roman" w:hAnsi="Times New Roman" w:cs="Times New Roman"/>
          <w:sz w:val="24"/>
          <w:szCs w:val="24"/>
        </w:rPr>
        <w:t xml:space="preserve"> – щонайменше 1 особа із зазначеного переліку, які працюють за основним місц</w:t>
      </w:r>
      <w:r>
        <w:rPr>
          <w:rFonts w:ascii="Times New Roman" w:eastAsia="Times New Roman" w:hAnsi="Times New Roman" w:cs="Times New Roman"/>
          <w:sz w:val="24"/>
          <w:szCs w:val="24"/>
        </w:rPr>
        <w:t xml:space="preserve">ем роботи у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або за сумісництвом. </w:t>
      </w:r>
    </w:p>
    <w:p w14:paraId="00000248"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Рентгенолаборант</w:t>
      </w:r>
      <w:proofErr w:type="spellEnd"/>
      <w:r>
        <w:rPr>
          <w:rFonts w:ascii="Times New Roman" w:eastAsia="Times New Roman" w:hAnsi="Times New Roman" w:cs="Times New Roman"/>
          <w:sz w:val="24"/>
          <w:szCs w:val="24"/>
        </w:rPr>
        <w:t xml:space="preserve"> – щонайменше 3 особи, які працюють за основним місцем роботи у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w:t>
      </w:r>
    </w:p>
    <w:p w14:paraId="00000249"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Сестра медична (брат медичний) анестезист – щонайменше 4 особи, які працюють за основ</w:t>
      </w:r>
      <w:r>
        <w:rPr>
          <w:rFonts w:ascii="Times New Roman" w:eastAsia="Times New Roman" w:hAnsi="Times New Roman" w:cs="Times New Roman"/>
          <w:sz w:val="24"/>
          <w:szCs w:val="24"/>
        </w:rPr>
        <w:t>ним місцем роботи в цьому ЗОЗ.</w:t>
      </w:r>
    </w:p>
    <w:p w14:paraId="0000024A"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Фельдшер-лаборант та/або лаборант клінічної діагностики, та/або лаборант клініко-діагностичної лабораторії, та/або лаборант – щонайменше 4 особи із зазначеного переліку, які працюють за основним місцем роботи в цьому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або за сумісництвом.</w:t>
      </w:r>
    </w:p>
    <w:p w14:paraId="0000024D" w14:textId="3CCE6ADA" w:rsidR="005B5750" w:rsidRDefault="005B5750" w:rsidP="00DE6244">
      <w:pPr>
        <w:shd w:val="clear" w:color="auto" w:fill="FFFFFF"/>
        <w:spacing w:before="240" w:after="0" w:line="276" w:lineRule="auto"/>
        <w:jc w:val="both"/>
        <w:rPr>
          <w:rFonts w:ascii="Times New Roman" w:eastAsia="Times New Roman" w:hAnsi="Times New Roman" w:cs="Times New Roman"/>
          <w:sz w:val="24"/>
          <w:szCs w:val="24"/>
        </w:rPr>
      </w:pPr>
    </w:p>
    <w:p w14:paraId="0000024F" w14:textId="071A7DBB" w:rsidR="005B5750" w:rsidRDefault="00E241CC" w:rsidP="00DE6244">
      <w:pPr>
        <w:shd w:val="clear" w:color="auto" w:fill="FFFFFF"/>
        <w:spacing w:after="0" w:line="276" w:lineRule="auto"/>
        <w:ind w:left="36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стр</w:t>
      </w:r>
      <w:r>
        <w:rPr>
          <w:rFonts w:ascii="Times New Roman" w:eastAsia="Times New Roman" w:hAnsi="Times New Roman" w:cs="Times New Roman"/>
          <w:i/>
          <w:sz w:val="24"/>
          <w:szCs w:val="24"/>
        </w:rPr>
        <w:t>уктурних підрозділів закладу:</w:t>
      </w:r>
    </w:p>
    <w:p w14:paraId="4C76427A"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окремого спеціального структурного підрозділу (відділення/центру) або окремого блоку, який призначений для лікування пацієнтів шляхом ТГСК, обстеження та забору ГСК у пацієнтів донорів та має обмежений доступ пацієнтів іншого профілю або осіб, не</w:t>
      </w:r>
      <w:r w:rsidRPr="00DE6244">
        <w:rPr>
          <w:rFonts w:ascii="Times New Roman" w:eastAsia="Times New Roman" w:hAnsi="Times New Roman" w:cs="Times New Roman"/>
          <w:sz w:val="24"/>
          <w:szCs w:val="24"/>
        </w:rPr>
        <w:t xml:space="preserve"> пов’язаних із наданням такої медичної допомоги. </w:t>
      </w:r>
    </w:p>
    <w:p w14:paraId="30E58C1D"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ізольованих чистих боксів, з НЕРА-фільтрацією з позитивним тиском або з ламінарним потоком повітря, окремим санвузлом та контролем якості повітря у приміщеннях.</w:t>
      </w:r>
    </w:p>
    <w:p w14:paraId="7435BA8C"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відділення інтенсивної те</w:t>
      </w:r>
      <w:r w:rsidRPr="00DE6244">
        <w:rPr>
          <w:rFonts w:ascii="Times New Roman" w:eastAsia="Times New Roman" w:hAnsi="Times New Roman" w:cs="Times New Roman"/>
          <w:sz w:val="24"/>
          <w:szCs w:val="24"/>
        </w:rPr>
        <w:t>рапії для проведення цілодобової інтенсивної терапії та моніторингу, обладнаних відповідно до табелю матеріально-технічного оснащення.</w:t>
      </w:r>
    </w:p>
    <w:p w14:paraId="7E5B9A3F"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операційного блоку, обладнаного відповідно до табелю матеріально-технічного оснащення (для проведення забору кі</w:t>
      </w:r>
      <w:r w:rsidRPr="00DE6244">
        <w:rPr>
          <w:rFonts w:ascii="Times New Roman" w:eastAsia="Times New Roman" w:hAnsi="Times New Roman" w:cs="Times New Roman"/>
          <w:sz w:val="24"/>
          <w:szCs w:val="24"/>
        </w:rPr>
        <w:t>сткового мозку у пацієнтів донорів).</w:t>
      </w:r>
    </w:p>
    <w:p w14:paraId="73576981"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лікарняного банку крові.</w:t>
      </w:r>
    </w:p>
    <w:p w14:paraId="07C1DF27"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спеціально відведеного приміщення в межах підрозділу або банку крові для обробки ГСК.</w:t>
      </w:r>
    </w:p>
    <w:p w14:paraId="3F8A1CA0"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лабораторії для забезпечення проведення клінічних, біохімічних лабораторних до</w:t>
      </w:r>
      <w:r w:rsidRPr="00DE6244">
        <w:rPr>
          <w:rFonts w:ascii="Times New Roman" w:eastAsia="Times New Roman" w:hAnsi="Times New Roman" w:cs="Times New Roman"/>
          <w:sz w:val="24"/>
          <w:szCs w:val="24"/>
        </w:rPr>
        <w:t>сліджень у ЗОЗ, визначених у специфікаціях</w:t>
      </w:r>
    </w:p>
    <w:p w14:paraId="68FB593F" w14:textId="77777777" w:rsid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окремих приміщень для огляду та проведення процедур пацієнтам - реципієнтам та  огляду пацієнтів – донорів в амбулаторних умовах.</w:t>
      </w:r>
    </w:p>
    <w:p w14:paraId="00000259" w14:textId="1FC5F648" w:rsidR="005B5750" w:rsidRPr="00DE6244" w:rsidRDefault="00E241CC" w:rsidP="00DE6244">
      <w:pPr>
        <w:pStyle w:val="a4"/>
        <w:numPr>
          <w:ilvl w:val="0"/>
          <w:numId w:val="34"/>
        </w:numPr>
        <w:shd w:val="clear" w:color="auto" w:fill="FFFFFF"/>
        <w:spacing w:after="0" w:line="276" w:lineRule="auto"/>
        <w:jc w:val="both"/>
        <w:rPr>
          <w:rFonts w:ascii="Times New Roman" w:eastAsia="Times New Roman" w:hAnsi="Times New Roman" w:cs="Times New Roman"/>
          <w:sz w:val="24"/>
          <w:szCs w:val="24"/>
        </w:rPr>
      </w:pPr>
      <w:r w:rsidRPr="00DE6244">
        <w:rPr>
          <w:rFonts w:ascii="Times New Roman" w:eastAsia="Times New Roman" w:hAnsi="Times New Roman" w:cs="Times New Roman"/>
          <w:sz w:val="24"/>
          <w:szCs w:val="24"/>
        </w:rPr>
        <w:t>Наявність відділу з інфекційного контролю.</w:t>
      </w:r>
    </w:p>
    <w:p w14:paraId="0000025A" w14:textId="77777777" w:rsidR="005B5750" w:rsidRDefault="00E241CC">
      <w:pPr>
        <w:shd w:val="clear" w:color="auto" w:fill="FFFFFF"/>
        <w:spacing w:before="240"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Вимоги до переліку обладнання:</w:t>
      </w:r>
      <w:r>
        <w:rPr>
          <w:rFonts w:ascii="Times New Roman" w:eastAsia="Times New Roman" w:hAnsi="Times New Roman" w:cs="Times New Roman"/>
          <w:i/>
          <w:sz w:val="24"/>
          <w:szCs w:val="24"/>
        </w:rPr>
        <w:t xml:space="preserve"> </w:t>
      </w:r>
    </w:p>
    <w:p w14:paraId="0000025B" w14:textId="77777777" w:rsidR="005B5750" w:rsidRDefault="00E241CC">
      <w:pPr>
        <w:shd w:val="clear" w:color="auto" w:fill="FFFFFF"/>
        <w:spacing w:after="0" w:line="276" w:lineRule="auto"/>
        <w:ind w:left="6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w:t>
      </w:r>
    </w:p>
    <w:p w14:paraId="0000025C"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резервне джерело електропостачання; </w:t>
      </w:r>
    </w:p>
    <w:p w14:paraId="0000025D"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автоматичне перемикальне комутаційне обладнання відповідно до ДСТУ IEC 60947-6-1: 2007;</w:t>
      </w:r>
    </w:p>
    <w:p w14:paraId="0000025E"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рентгенівська діагностична; </w:t>
      </w:r>
    </w:p>
    <w:p w14:paraId="0000025F"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рентгенівської комп'ютерної томографії (в тому числі для досліджень з внутрішньовенним контрастуванням); </w:t>
      </w:r>
    </w:p>
    <w:p w14:paraId="00000260"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магнітно-резонансної томографії (в тому числі для досліджень з внутрішньовенним контрастуванням) (у власності </w:t>
      </w:r>
      <w:r>
        <w:rPr>
          <w:rFonts w:ascii="Times New Roman" w:eastAsia="Times New Roman" w:hAnsi="Times New Roman" w:cs="Times New Roman"/>
          <w:sz w:val="24"/>
          <w:szCs w:val="24"/>
          <w:highlight w:val="white"/>
        </w:rPr>
        <w:t>ЗОЗ</w:t>
      </w:r>
      <w:r>
        <w:rPr>
          <w:rFonts w:ascii="Times New Roman" w:eastAsia="Times New Roman" w:hAnsi="Times New Roman" w:cs="Times New Roman"/>
          <w:sz w:val="24"/>
          <w:szCs w:val="24"/>
        </w:rPr>
        <w:t xml:space="preserve">, на умовах </w:t>
      </w:r>
      <w:r>
        <w:rPr>
          <w:rFonts w:ascii="Times New Roman" w:eastAsia="Times New Roman" w:hAnsi="Times New Roman" w:cs="Times New Roman"/>
          <w:sz w:val="24"/>
          <w:szCs w:val="24"/>
          <w:highlight w:val="white"/>
        </w:rPr>
        <w:t xml:space="preserve">оренди, </w:t>
      </w:r>
      <w:proofErr w:type="spellStart"/>
      <w:r>
        <w:rPr>
          <w:rFonts w:ascii="Times New Roman" w:eastAsia="Times New Roman" w:hAnsi="Times New Roman" w:cs="Times New Roman"/>
          <w:sz w:val="24"/>
          <w:szCs w:val="24"/>
          <w:highlight w:val="white"/>
        </w:rPr>
        <w:t>підряду</w:t>
      </w:r>
      <w:proofErr w:type="spellEnd"/>
      <w:r>
        <w:rPr>
          <w:rFonts w:ascii="Times New Roman" w:eastAsia="Times New Roman" w:hAnsi="Times New Roman" w:cs="Times New Roman"/>
          <w:sz w:val="24"/>
          <w:szCs w:val="24"/>
          <w:highlight w:val="white"/>
        </w:rPr>
        <w:t xml:space="preserve"> та інших умов  користування</w:t>
      </w:r>
      <w:r>
        <w:rPr>
          <w:rFonts w:ascii="Times New Roman" w:eastAsia="Times New Roman" w:hAnsi="Times New Roman" w:cs="Times New Roman"/>
          <w:sz w:val="24"/>
          <w:szCs w:val="24"/>
        </w:rPr>
        <w:t>);</w:t>
      </w:r>
    </w:p>
    <w:p w14:paraId="00000261"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відеоендоскопічна</w:t>
      </w:r>
      <w:proofErr w:type="spellEnd"/>
      <w:r>
        <w:rPr>
          <w:rFonts w:ascii="Times New Roman" w:eastAsia="Times New Roman" w:hAnsi="Times New Roman" w:cs="Times New Roman"/>
          <w:sz w:val="24"/>
          <w:szCs w:val="24"/>
        </w:rPr>
        <w:t xml:space="preserve"> стійка з набором інструментів для ендоскопії;</w:t>
      </w:r>
    </w:p>
    <w:p w14:paraId="00000262"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ультразвукової візуалізації, зокрема на основі ефекту </w:t>
      </w:r>
      <w:proofErr w:type="spellStart"/>
      <w:r>
        <w:rPr>
          <w:rFonts w:ascii="Times New Roman" w:eastAsia="Times New Roman" w:hAnsi="Times New Roman" w:cs="Times New Roman"/>
          <w:sz w:val="24"/>
          <w:szCs w:val="24"/>
        </w:rPr>
        <w:t>Доплера</w:t>
      </w:r>
      <w:proofErr w:type="spellEnd"/>
      <w:r>
        <w:rPr>
          <w:rFonts w:ascii="Times New Roman" w:eastAsia="Times New Roman" w:hAnsi="Times New Roman" w:cs="Times New Roman"/>
          <w:sz w:val="24"/>
          <w:szCs w:val="24"/>
        </w:rPr>
        <w:t xml:space="preserve">; </w:t>
      </w:r>
    </w:p>
    <w:p w14:paraId="00000263"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цитоцентри</w:t>
      </w:r>
      <w:r>
        <w:rPr>
          <w:rFonts w:ascii="Times New Roman" w:eastAsia="Times New Roman" w:hAnsi="Times New Roman" w:cs="Times New Roman"/>
          <w:sz w:val="24"/>
          <w:szCs w:val="24"/>
        </w:rPr>
        <w:t>фуга</w:t>
      </w:r>
      <w:proofErr w:type="spellEnd"/>
      <w:r>
        <w:rPr>
          <w:rFonts w:ascii="Times New Roman" w:eastAsia="Times New Roman" w:hAnsi="Times New Roman" w:cs="Times New Roman"/>
          <w:sz w:val="24"/>
          <w:szCs w:val="24"/>
        </w:rPr>
        <w:t xml:space="preserve"> для виготовлення цитологічних препаратів біологічних рідин;</w:t>
      </w:r>
    </w:p>
    <w:p w14:paraId="00000264"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обладнання для </w:t>
      </w:r>
      <w:proofErr w:type="spellStart"/>
      <w:r>
        <w:rPr>
          <w:rFonts w:ascii="Times New Roman" w:eastAsia="Times New Roman" w:hAnsi="Times New Roman" w:cs="Times New Roman"/>
          <w:sz w:val="24"/>
          <w:szCs w:val="24"/>
        </w:rPr>
        <w:t>кріопрезервації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гемопоетичних</w:t>
      </w:r>
      <w:proofErr w:type="spellEnd"/>
      <w:r>
        <w:rPr>
          <w:rFonts w:ascii="Times New Roman" w:eastAsia="Times New Roman" w:hAnsi="Times New Roman" w:cs="Times New Roman"/>
          <w:sz w:val="24"/>
          <w:szCs w:val="24"/>
        </w:rPr>
        <w:t xml:space="preserve"> клітин:</w:t>
      </w:r>
    </w:p>
    <w:p w14:paraId="00000265" w14:textId="77777777" w:rsidR="005B5750" w:rsidRDefault="00E241CC">
      <w:pPr>
        <w:shd w:val="clear" w:color="auto" w:fill="FFFFFF"/>
        <w:spacing w:before="240"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програмний </w:t>
      </w:r>
      <w:proofErr w:type="spellStart"/>
      <w:r>
        <w:rPr>
          <w:rFonts w:ascii="Times New Roman" w:eastAsia="Times New Roman" w:hAnsi="Times New Roman" w:cs="Times New Roman"/>
          <w:sz w:val="24"/>
          <w:szCs w:val="24"/>
        </w:rPr>
        <w:t>заморожувач</w:t>
      </w:r>
      <w:proofErr w:type="spellEnd"/>
      <w:r>
        <w:rPr>
          <w:rFonts w:ascii="Times New Roman" w:eastAsia="Times New Roman" w:hAnsi="Times New Roman" w:cs="Times New Roman"/>
          <w:sz w:val="24"/>
          <w:szCs w:val="24"/>
        </w:rPr>
        <w:t xml:space="preserve"> для автоматичного заморожування в рідкому азоті ГСК;</w:t>
      </w:r>
    </w:p>
    <w:p w14:paraId="00000266" w14:textId="77777777" w:rsidR="005B5750" w:rsidRDefault="00E241CC">
      <w:pPr>
        <w:shd w:val="clear" w:color="auto" w:fill="FFFFFF"/>
        <w:spacing w:before="240"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ii.</w:t>
      </w:r>
      <w:r>
        <w:rPr>
          <w:rFonts w:ascii="Times New Roman" w:eastAsia="Times New Roman" w:hAnsi="Times New Roman" w:cs="Times New Roman"/>
          <w:sz w:val="14"/>
          <w:szCs w:val="14"/>
        </w:rPr>
        <w:t xml:space="preserve">          </w:t>
      </w:r>
      <w:sdt>
        <w:sdtPr>
          <w:tag w:val="goog_rdk_0"/>
          <w:id w:val="1954516603"/>
        </w:sdtPr>
        <w:sdtEndPr/>
        <w:sdtContent>
          <w:r>
            <w:rPr>
              <w:rFonts w:ascii="Gungsuh" w:eastAsia="Gungsuh" w:hAnsi="Gungsuh" w:cs="Gungsuh"/>
              <w:sz w:val="24"/>
              <w:szCs w:val="24"/>
            </w:rPr>
            <w:t>сейф д</w:t>
          </w:r>
          <w:r>
            <w:rPr>
              <w:rFonts w:ascii="Gungsuh" w:eastAsia="Gungsuh" w:hAnsi="Gungsuh" w:cs="Gungsuh"/>
              <w:sz w:val="24"/>
              <w:szCs w:val="24"/>
            </w:rPr>
            <w:t>ля збереження ГСК при температурі  ≤ -140 ℃.</w:t>
          </w:r>
        </w:sdtContent>
      </w:sdt>
    </w:p>
    <w:p w14:paraId="00000267"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68"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місцем надання медичних послуг: </w:t>
      </w:r>
    </w:p>
    <w:p w14:paraId="00000269"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резервне джерело електропостачання; </w:t>
      </w:r>
    </w:p>
    <w:p w14:paraId="0000026A"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автоматичне перемикальне комутаційне обладнання відповідно до ДСТУ IEC 60947-6-1: 2007;</w:t>
      </w:r>
    </w:p>
    <w:p w14:paraId="0000026B"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централізована система </w:t>
      </w:r>
      <w:proofErr w:type="spellStart"/>
      <w:r>
        <w:rPr>
          <w:rFonts w:ascii="Times New Roman" w:eastAsia="Times New Roman" w:hAnsi="Times New Roman" w:cs="Times New Roman"/>
          <w:sz w:val="24"/>
          <w:szCs w:val="24"/>
        </w:rPr>
        <w:t>киснезабезпечення</w:t>
      </w:r>
      <w:proofErr w:type="spellEnd"/>
      <w:r>
        <w:rPr>
          <w:rFonts w:ascii="Times New Roman" w:eastAsia="Times New Roman" w:hAnsi="Times New Roman" w:cs="Times New Roman"/>
          <w:sz w:val="24"/>
          <w:szCs w:val="24"/>
        </w:rPr>
        <w:t xml:space="preserve"> з джерелом медичного кисню (центральний кисневий пункт та/або киснево-</w:t>
      </w:r>
      <w:proofErr w:type="spellStart"/>
      <w:r>
        <w:rPr>
          <w:rFonts w:ascii="Times New Roman" w:eastAsia="Times New Roman" w:hAnsi="Times New Roman" w:cs="Times New Roman"/>
          <w:sz w:val="24"/>
          <w:szCs w:val="24"/>
        </w:rPr>
        <w:t>газифікаційна</w:t>
      </w:r>
      <w:proofErr w:type="spellEnd"/>
      <w:r>
        <w:rPr>
          <w:rFonts w:ascii="Times New Roman" w:eastAsia="Times New Roman" w:hAnsi="Times New Roman" w:cs="Times New Roman"/>
          <w:sz w:val="24"/>
          <w:szCs w:val="24"/>
        </w:rPr>
        <w:t xml:space="preserve"> станція), що здатна підтримувати концентрацію кисню на рівні не менше 93±3%,  тиск на рівні не менше 0,4 МПа, потік на рів</w:t>
      </w:r>
      <w:r>
        <w:rPr>
          <w:rFonts w:ascii="Times New Roman" w:eastAsia="Times New Roman" w:hAnsi="Times New Roman" w:cs="Times New Roman"/>
          <w:sz w:val="24"/>
          <w:szCs w:val="24"/>
        </w:rPr>
        <w:t xml:space="preserve">ні не менше 10 л/хв; </w:t>
      </w:r>
    </w:p>
    <w:p w14:paraId="0000026C"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w:t>
      </w:r>
      <w:proofErr w:type="spellStart"/>
      <w:r>
        <w:rPr>
          <w:rFonts w:ascii="Times New Roman" w:eastAsia="Times New Roman" w:hAnsi="Times New Roman" w:cs="Times New Roman"/>
          <w:sz w:val="24"/>
          <w:szCs w:val="24"/>
        </w:rPr>
        <w:t>аферезу</w:t>
      </w:r>
      <w:proofErr w:type="spellEnd"/>
      <w:r>
        <w:rPr>
          <w:rFonts w:ascii="Times New Roman" w:eastAsia="Times New Roman" w:hAnsi="Times New Roman" w:cs="Times New Roman"/>
          <w:sz w:val="24"/>
          <w:szCs w:val="24"/>
        </w:rPr>
        <w:t xml:space="preserve"> (клітинний сепаратор) щонайменше 2;</w:t>
      </w:r>
    </w:p>
    <w:p w14:paraId="0000026D"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sz w:val="24"/>
          <w:szCs w:val="24"/>
        </w:rPr>
        <w:t>неінвазивний</w:t>
      </w:r>
      <w:proofErr w:type="spellEnd"/>
      <w:r>
        <w:rPr>
          <w:rFonts w:ascii="Times New Roman" w:eastAsia="Times New Roman" w:hAnsi="Times New Roman" w:cs="Times New Roman"/>
          <w:sz w:val="24"/>
          <w:szCs w:val="24"/>
        </w:rPr>
        <w:t xml:space="preserve"> АТ, ЧСС, ЕКГ, SpO2, t), з комплектами відповідних манжеток та датчиків (</w:t>
      </w:r>
      <w:r>
        <w:rPr>
          <w:rFonts w:ascii="Times New Roman" w:eastAsia="Times New Roman" w:hAnsi="Times New Roman" w:cs="Times New Roman"/>
          <w:sz w:val="24"/>
          <w:szCs w:val="24"/>
        </w:rPr>
        <w:t>для лікування дітей) щонайменше 1 на кожний бокс;</w:t>
      </w:r>
    </w:p>
    <w:p w14:paraId="0000026E"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ліжко функціональне 1 на кожний бокс.</w:t>
      </w:r>
    </w:p>
    <w:p w14:paraId="0000026F"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70"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 відділенні інтенсивної терапії: </w:t>
      </w:r>
    </w:p>
    <w:p w14:paraId="00000271"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 </w:t>
      </w:r>
    </w:p>
    <w:p w14:paraId="00000272"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централізована система </w:t>
      </w:r>
      <w:proofErr w:type="spellStart"/>
      <w:r>
        <w:rPr>
          <w:rFonts w:ascii="Times New Roman" w:eastAsia="Times New Roman" w:hAnsi="Times New Roman" w:cs="Times New Roman"/>
          <w:sz w:val="24"/>
          <w:szCs w:val="24"/>
        </w:rPr>
        <w:t>киснезабезпечення</w:t>
      </w:r>
      <w:proofErr w:type="spellEnd"/>
      <w:r>
        <w:rPr>
          <w:rFonts w:ascii="Times New Roman" w:eastAsia="Times New Roman" w:hAnsi="Times New Roman" w:cs="Times New Roman"/>
          <w:sz w:val="24"/>
          <w:szCs w:val="24"/>
        </w:rPr>
        <w:t xml:space="preserve"> з джерелом медичного кисню (центральний кисневий пункт та/а</w:t>
      </w:r>
      <w:r>
        <w:rPr>
          <w:rFonts w:ascii="Times New Roman" w:eastAsia="Times New Roman" w:hAnsi="Times New Roman" w:cs="Times New Roman"/>
          <w:sz w:val="24"/>
          <w:szCs w:val="24"/>
        </w:rPr>
        <w:t>бо киснево-</w:t>
      </w:r>
      <w:proofErr w:type="spellStart"/>
      <w:r>
        <w:rPr>
          <w:rFonts w:ascii="Times New Roman" w:eastAsia="Times New Roman" w:hAnsi="Times New Roman" w:cs="Times New Roman"/>
          <w:sz w:val="24"/>
          <w:szCs w:val="24"/>
        </w:rPr>
        <w:t>газифікаційна</w:t>
      </w:r>
      <w:proofErr w:type="spellEnd"/>
      <w:r>
        <w:rPr>
          <w:rFonts w:ascii="Times New Roman" w:eastAsia="Times New Roman" w:hAnsi="Times New Roman" w:cs="Times New Roman"/>
          <w:sz w:val="24"/>
          <w:szCs w:val="24"/>
        </w:rPr>
        <w:t xml:space="preserve"> станція), що здатна підтримувати концентрацію кисню на рівні не менше 93±3%,  тиск на рівні не менше 0,4 МПа, потік на рівні не менше 20 л/хв; </w:t>
      </w:r>
    </w:p>
    <w:p w14:paraId="00000273"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автоматичний дозатор лікувальних речовин – щонайменше 6;</w:t>
      </w:r>
    </w:p>
    <w:p w14:paraId="00000274"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апарат штучної вентиляції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 xml:space="preserve"> – на кожне ліжко;</w:t>
      </w:r>
    </w:p>
    <w:p w14:paraId="00000275"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портативний дефібрилятор з функцією синхронізації;</w:t>
      </w:r>
    </w:p>
    <w:p w14:paraId="00000276"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система моніторингу фізіологічних показників одного пацієнта (</w:t>
      </w:r>
      <w:proofErr w:type="spellStart"/>
      <w:r>
        <w:rPr>
          <w:rFonts w:ascii="Times New Roman" w:eastAsia="Times New Roman" w:hAnsi="Times New Roman" w:cs="Times New Roman"/>
          <w:sz w:val="24"/>
          <w:szCs w:val="24"/>
        </w:rPr>
        <w:t>неінвазивний</w:t>
      </w:r>
      <w:proofErr w:type="spellEnd"/>
      <w:r>
        <w:rPr>
          <w:rFonts w:ascii="Times New Roman" w:eastAsia="Times New Roman" w:hAnsi="Times New Roman" w:cs="Times New Roman"/>
          <w:sz w:val="24"/>
          <w:szCs w:val="24"/>
        </w:rPr>
        <w:t xml:space="preserve"> АТ, ЧСС, ЕКГ, SpO2, t та </w:t>
      </w:r>
      <w:proofErr w:type="spellStart"/>
      <w:r>
        <w:rPr>
          <w:rFonts w:ascii="Times New Roman" w:eastAsia="Times New Roman" w:hAnsi="Times New Roman" w:cs="Times New Roman"/>
          <w:sz w:val="24"/>
          <w:szCs w:val="24"/>
        </w:rPr>
        <w:t>інш</w:t>
      </w:r>
      <w:proofErr w:type="spellEnd"/>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кожне ліжко;</w:t>
      </w:r>
    </w:p>
    <w:p w14:paraId="00000277"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дозатор лікувальних речовин (</w:t>
      </w:r>
      <w:proofErr w:type="spellStart"/>
      <w:r>
        <w:rPr>
          <w:rFonts w:ascii="Times New Roman" w:eastAsia="Times New Roman" w:hAnsi="Times New Roman" w:cs="Times New Roman"/>
          <w:sz w:val="24"/>
          <w:szCs w:val="24"/>
        </w:rPr>
        <w:t>інфузійна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волюметрична</w:t>
      </w:r>
      <w:proofErr w:type="spellEnd"/>
      <w:r>
        <w:rPr>
          <w:rFonts w:ascii="Times New Roman" w:eastAsia="Times New Roman" w:hAnsi="Times New Roman" w:cs="Times New Roman"/>
          <w:sz w:val="24"/>
          <w:szCs w:val="24"/>
        </w:rPr>
        <w:t xml:space="preserve"> помпа) – щонайменше 2;</w:t>
      </w:r>
    </w:p>
    <w:p w14:paraId="00000278"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універсальна система підігріву і зберігання у теплому вигляді </w:t>
      </w:r>
      <w:proofErr w:type="spellStart"/>
      <w:r>
        <w:rPr>
          <w:rFonts w:ascii="Times New Roman" w:eastAsia="Times New Roman" w:hAnsi="Times New Roman" w:cs="Times New Roman"/>
          <w:sz w:val="24"/>
          <w:szCs w:val="24"/>
        </w:rPr>
        <w:t>інфузійних</w:t>
      </w:r>
      <w:proofErr w:type="spellEnd"/>
      <w:r>
        <w:rPr>
          <w:rFonts w:ascii="Times New Roman" w:eastAsia="Times New Roman" w:hAnsi="Times New Roman" w:cs="Times New Roman"/>
          <w:sz w:val="24"/>
          <w:szCs w:val="24"/>
        </w:rPr>
        <w:t xml:space="preserve"> розчинів;</w:t>
      </w:r>
    </w:p>
    <w:p w14:paraId="00000279"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апарат для гострого гемод</w:t>
      </w:r>
      <w:r>
        <w:rPr>
          <w:rFonts w:ascii="Times New Roman" w:eastAsia="Times New Roman" w:hAnsi="Times New Roman" w:cs="Times New Roman"/>
          <w:sz w:val="24"/>
          <w:szCs w:val="24"/>
        </w:rPr>
        <w:t xml:space="preserve">іалізу «Штучна нирка» (при відсутності відділення </w:t>
      </w:r>
      <w:proofErr w:type="spellStart"/>
      <w:r>
        <w:rPr>
          <w:rFonts w:ascii="Times New Roman" w:eastAsia="Times New Roman" w:hAnsi="Times New Roman" w:cs="Times New Roman"/>
          <w:sz w:val="24"/>
          <w:szCs w:val="24"/>
        </w:rPr>
        <w:t>екстракорпоральної</w:t>
      </w:r>
      <w:proofErr w:type="spellEnd"/>
      <w:r>
        <w:rPr>
          <w:rFonts w:ascii="Times New Roman" w:eastAsia="Times New Roman" w:hAnsi="Times New Roman" w:cs="Times New Roman"/>
          <w:sz w:val="24"/>
          <w:szCs w:val="24"/>
        </w:rPr>
        <w:t xml:space="preserve"> детоксикації).</w:t>
      </w:r>
    </w:p>
    <w:p w14:paraId="0000027A" w14:textId="77777777" w:rsidR="005B5750" w:rsidRDefault="00E241CC">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мішок ручної вентиляції </w:t>
      </w:r>
      <w:proofErr w:type="spellStart"/>
      <w:r>
        <w:rPr>
          <w:rFonts w:ascii="Times New Roman" w:eastAsia="Times New Roman" w:hAnsi="Times New Roman" w:cs="Times New Roman"/>
          <w:sz w:val="24"/>
          <w:szCs w:val="24"/>
        </w:rPr>
        <w:t>легенів</w:t>
      </w:r>
      <w:proofErr w:type="spellEnd"/>
      <w:r>
        <w:rPr>
          <w:rFonts w:ascii="Times New Roman" w:eastAsia="Times New Roman" w:hAnsi="Times New Roman" w:cs="Times New Roman"/>
          <w:sz w:val="24"/>
          <w:szCs w:val="24"/>
        </w:rPr>
        <w:t>;</w:t>
      </w:r>
    </w:p>
    <w:p w14:paraId="0000027C" w14:textId="21E857DA"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DE6244">
        <w:rPr>
          <w:rFonts w:ascii="Times New Roman" w:eastAsia="Times New Roman" w:hAnsi="Times New Roman" w:cs="Times New Roman"/>
          <w:sz w:val="24"/>
          <w:szCs w:val="24"/>
        </w:rPr>
        <w:t> </w:t>
      </w:r>
      <w:r>
        <w:rPr>
          <w:rFonts w:ascii="Times New Roman" w:eastAsia="Times New Roman" w:hAnsi="Times New Roman" w:cs="Times New Roman"/>
          <w:sz w:val="24"/>
          <w:szCs w:val="24"/>
        </w:rPr>
        <w:t>ларингоскоп</w:t>
      </w:r>
      <w:r w:rsidR="00DE6244">
        <w:rPr>
          <w:rFonts w:ascii="Times New Roman" w:eastAsia="Times New Roman" w:hAnsi="Times New Roman" w:cs="Times New Roman"/>
          <w:sz w:val="24"/>
          <w:szCs w:val="24"/>
        </w:rPr>
        <w:t> </w:t>
      </w:r>
      <w:r>
        <w:rPr>
          <w:rFonts w:ascii="Times New Roman" w:eastAsia="Times New Roman" w:hAnsi="Times New Roman" w:cs="Times New Roman"/>
          <w:sz w:val="24"/>
          <w:szCs w:val="24"/>
        </w:rPr>
        <w:t>з</w:t>
      </w:r>
      <w:r w:rsidR="00DE6244">
        <w:rPr>
          <w:rFonts w:ascii="Times New Roman" w:eastAsia="Times New Roman" w:hAnsi="Times New Roman" w:cs="Times New Roman"/>
          <w:sz w:val="24"/>
          <w:szCs w:val="24"/>
        </w:rPr>
        <w:t> </w:t>
      </w:r>
      <w:r>
        <w:rPr>
          <w:rFonts w:ascii="Times New Roman" w:eastAsia="Times New Roman" w:hAnsi="Times New Roman" w:cs="Times New Roman"/>
          <w:sz w:val="24"/>
          <w:szCs w:val="24"/>
        </w:rPr>
        <w:t>набором</w:t>
      </w:r>
      <w:r w:rsidR="00DE6244">
        <w:rPr>
          <w:rFonts w:ascii="Times New Roman" w:eastAsia="Times New Roman" w:hAnsi="Times New Roman" w:cs="Times New Roman"/>
          <w:sz w:val="24"/>
          <w:szCs w:val="24"/>
        </w:rPr>
        <w:t> </w:t>
      </w:r>
      <w:r>
        <w:rPr>
          <w:rFonts w:ascii="Times New Roman" w:eastAsia="Times New Roman" w:hAnsi="Times New Roman" w:cs="Times New Roman"/>
          <w:sz w:val="24"/>
          <w:szCs w:val="24"/>
        </w:rPr>
        <w:t>клинків</w:t>
      </w:r>
      <w:r w:rsidR="00DE6244">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27D" w14:textId="77777777" w:rsidR="005B5750" w:rsidRPr="00DE6244" w:rsidRDefault="00E241CC">
      <w:pPr>
        <w:shd w:val="clear" w:color="auto" w:fill="FFFFFF"/>
        <w:spacing w:after="0" w:line="276" w:lineRule="auto"/>
        <w:jc w:val="both"/>
        <w:rPr>
          <w:rFonts w:ascii="Times New Roman" w:eastAsia="Times New Roman" w:hAnsi="Times New Roman" w:cs="Times New Roman"/>
          <w:i/>
          <w:iCs/>
          <w:sz w:val="24"/>
          <w:szCs w:val="24"/>
        </w:rPr>
      </w:pPr>
      <w:r w:rsidRPr="00DE6244">
        <w:rPr>
          <w:rFonts w:ascii="Times New Roman" w:eastAsia="Times New Roman" w:hAnsi="Times New Roman" w:cs="Times New Roman"/>
          <w:i/>
          <w:iCs/>
          <w:sz w:val="24"/>
          <w:szCs w:val="24"/>
        </w:rPr>
        <w:t>4.</w:t>
      </w:r>
      <w:r w:rsidRPr="00DE6244">
        <w:rPr>
          <w:rFonts w:ascii="Times New Roman" w:eastAsia="Times New Roman" w:hAnsi="Times New Roman" w:cs="Times New Roman"/>
          <w:i/>
          <w:iCs/>
          <w:sz w:val="14"/>
          <w:szCs w:val="14"/>
        </w:rPr>
        <w:t xml:space="preserve">               </w:t>
      </w:r>
      <w:r w:rsidRPr="00DE6244">
        <w:rPr>
          <w:rFonts w:ascii="Times New Roman" w:eastAsia="Times New Roman" w:hAnsi="Times New Roman" w:cs="Times New Roman"/>
          <w:i/>
          <w:iCs/>
          <w:sz w:val="24"/>
          <w:szCs w:val="24"/>
        </w:rPr>
        <w:t>У лікарняному банку крові:</w:t>
      </w:r>
    </w:p>
    <w:p w14:paraId="0000027E"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 xml:space="preserve">холодильник спеціалізований для </w:t>
      </w:r>
      <w:r>
        <w:rPr>
          <w:rFonts w:ascii="Times New Roman" w:eastAsia="Times New Roman" w:hAnsi="Times New Roman" w:cs="Times New Roman"/>
          <w:sz w:val="24"/>
          <w:szCs w:val="24"/>
        </w:rPr>
        <w:t>зберігання компонентів крові (від 2°с до 10°с);</w:t>
      </w:r>
    </w:p>
    <w:p w14:paraId="0000027F"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холодильник низькотемпературний для зберігання компонентів крові (від мінус 25°с до мінус 30°с);</w:t>
      </w:r>
    </w:p>
    <w:p w14:paraId="00000280"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 xml:space="preserve">кліматична камера з </w:t>
      </w:r>
      <w:proofErr w:type="spellStart"/>
      <w:r>
        <w:rPr>
          <w:rFonts w:ascii="Times New Roman" w:eastAsia="Times New Roman" w:hAnsi="Times New Roman" w:cs="Times New Roman"/>
          <w:sz w:val="24"/>
          <w:szCs w:val="24"/>
        </w:rPr>
        <w:t>шейкером</w:t>
      </w:r>
      <w:proofErr w:type="spellEnd"/>
      <w:r>
        <w:rPr>
          <w:rFonts w:ascii="Times New Roman" w:eastAsia="Times New Roman" w:hAnsi="Times New Roman" w:cs="Times New Roman"/>
          <w:sz w:val="24"/>
          <w:szCs w:val="24"/>
        </w:rPr>
        <w:t xml:space="preserve"> для зберігання тромбоцитів;</w:t>
      </w:r>
    </w:p>
    <w:p w14:paraId="00000281"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розморожувач</w:t>
      </w:r>
      <w:proofErr w:type="spellEnd"/>
      <w:r>
        <w:rPr>
          <w:rFonts w:ascii="Times New Roman" w:eastAsia="Times New Roman" w:hAnsi="Times New Roman" w:cs="Times New Roman"/>
          <w:sz w:val="24"/>
          <w:szCs w:val="24"/>
        </w:rPr>
        <w:t xml:space="preserve"> плазми;</w:t>
      </w:r>
    </w:p>
    <w:p w14:paraId="00000282"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а</w:t>
      </w:r>
      <w:r>
        <w:rPr>
          <w:rFonts w:ascii="Times New Roman" w:eastAsia="Times New Roman" w:hAnsi="Times New Roman" w:cs="Times New Roman"/>
          <w:sz w:val="24"/>
          <w:szCs w:val="24"/>
        </w:rPr>
        <w:t>парат «водяна баня»;</w:t>
      </w:r>
    </w:p>
    <w:p w14:paraId="00000283"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термоконтейнер для транспортування компонентів крові;</w:t>
      </w:r>
    </w:p>
    <w:p w14:paraId="00000284" w14:textId="77777777" w:rsidR="005B5750" w:rsidRDefault="00E241CC" w:rsidP="00DE624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t>мікроскоп.</w:t>
      </w:r>
    </w:p>
    <w:p w14:paraId="00000285" w14:textId="77777777" w:rsidR="005B5750" w:rsidRDefault="00E241CC">
      <w:pPr>
        <w:shd w:val="clear" w:color="auto" w:fill="FFFFFF"/>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86" w14:textId="77777777" w:rsidR="005B5750" w:rsidRPr="00DE6244" w:rsidRDefault="00E241CC">
      <w:pPr>
        <w:shd w:val="clear" w:color="auto" w:fill="FFFFFF"/>
        <w:spacing w:after="0" w:line="276" w:lineRule="auto"/>
        <w:ind w:left="560" w:hanging="280"/>
        <w:jc w:val="both"/>
        <w:rPr>
          <w:rFonts w:ascii="Times New Roman" w:eastAsia="Times New Roman" w:hAnsi="Times New Roman" w:cs="Times New Roman"/>
          <w:i/>
          <w:iCs/>
          <w:sz w:val="24"/>
          <w:szCs w:val="24"/>
        </w:rPr>
      </w:pPr>
      <w:r w:rsidRPr="00DE6244">
        <w:rPr>
          <w:rFonts w:ascii="Times New Roman" w:eastAsia="Times New Roman" w:hAnsi="Times New Roman" w:cs="Times New Roman"/>
          <w:i/>
          <w:iCs/>
          <w:sz w:val="24"/>
          <w:szCs w:val="24"/>
        </w:rPr>
        <w:t>5. У лабораторії:</w:t>
      </w:r>
    </w:p>
    <w:p w14:paraId="00000287"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гематологічний аналізатор– 2;</w:t>
      </w:r>
    </w:p>
    <w:p w14:paraId="00000288"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біохімічний аналізатор – 2;</w:t>
      </w:r>
    </w:p>
    <w:p w14:paraId="00000289"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коагуляційний</w:t>
      </w:r>
      <w:proofErr w:type="spellEnd"/>
      <w:r>
        <w:rPr>
          <w:rFonts w:ascii="Times New Roman" w:eastAsia="Times New Roman" w:hAnsi="Times New Roman" w:cs="Times New Roman"/>
          <w:sz w:val="24"/>
          <w:szCs w:val="24"/>
        </w:rPr>
        <w:t xml:space="preserve"> аналізатор;</w:t>
      </w:r>
    </w:p>
    <w:p w14:paraId="0000028A"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іммуноферментний</w:t>
      </w:r>
      <w:proofErr w:type="spellEnd"/>
      <w:r>
        <w:rPr>
          <w:rFonts w:ascii="Times New Roman" w:eastAsia="Times New Roman" w:hAnsi="Times New Roman" w:cs="Times New Roman"/>
          <w:sz w:val="24"/>
          <w:szCs w:val="24"/>
        </w:rPr>
        <w:t xml:space="preserve"> аналізатор;</w:t>
      </w:r>
    </w:p>
    <w:p w14:paraId="0000028B"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протічний </w:t>
      </w:r>
      <w:proofErr w:type="spellStart"/>
      <w:r>
        <w:rPr>
          <w:rFonts w:ascii="Times New Roman" w:eastAsia="Times New Roman" w:hAnsi="Times New Roman" w:cs="Times New Roman"/>
          <w:sz w:val="24"/>
          <w:szCs w:val="24"/>
        </w:rPr>
        <w:t>цитометр</w:t>
      </w:r>
      <w:proofErr w:type="spellEnd"/>
      <w:r>
        <w:rPr>
          <w:rFonts w:ascii="Times New Roman" w:eastAsia="Times New Roman" w:hAnsi="Times New Roman" w:cs="Times New Roman"/>
          <w:sz w:val="24"/>
          <w:szCs w:val="24"/>
        </w:rPr>
        <w:t xml:space="preserve"> у закладі або на умовах оренди,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 xml:space="preserve"> та інших умов  користування;</w:t>
      </w:r>
    </w:p>
    <w:p w14:paraId="0000028C"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спектрофотометр у закладі або на умовах оренди,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 xml:space="preserve"> та інших умов  користування;</w:t>
      </w:r>
    </w:p>
    <w:p w14:paraId="0000028D" w14:textId="77777777" w:rsidR="005B5750" w:rsidRDefault="00E241CC">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апліфікатор</w:t>
      </w:r>
      <w:proofErr w:type="spellEnd"/>
      <w:r>
        <w:rPr>
          <w:rFonts w:ascii="Times New Roman" w:eastAsia="Times New Roman" w:hAnsi="Times New Roman" w:cs="Times New Roman"/>
          <w:sz w:val="24"/>
          <w:szCs w:val="24"/>
        </w:rPr>
        <w:t xml:space="preserve"> у закладі або на умовах оренди,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 xml:space="preserve"> та інших умов  користування.</w:t>
      </w:r>
    </w:p>
    <w:p w14:paraId="0000028F" w14:textId="539A5EC6" w:rsidR="005B5750" w:rsidRDefault="00E241CC" w:rsidP="00DE6244">
      <w:pPr>
        <w:shd w:val="clear" w:color="auto" w:fill="FFFFFF"/>
        <w:spacing w:after="0" w:line="276"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90" w14:textId="77777777" w:rsidR="005B5750" w:rsidRDefault="00E241CC">
      <w:pPr>
        <w:shd w:val="clear" w:color="auto" w:fill="FFFFFF"/>
        <w:spacing w:before="240"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Інші вимоги: </w:t>
      </w:r>
    </w:p>
    <w:p w14:paraId="00000291" w14:textId="77777777" w:rsidR="005B5750" w:rsidRDefault="00E241CC">
      <w:pPr>
        <w:shd w:val="clear" w:color="auto" w:fill="FFFFFF"/>
        <w:spacing w:after="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Наявність ліцензії на провадження господарської діяльності з медичної практики за спеціальністю анестезіологія та/або дитяча анестезіологія, онкологія та/або дитяча онкологія та/або дитяча гематологія-онкологія та/або гематологія та/або дитяча гематологія.</w:t>
      </w:r>
      <w:r>
        <w:rPr>
          <w:rFonts w:ascii="Times New Roman" w:eastAsia="Times New Roman" w:hAnsi="Times New Roman" w:cs="Times New Roman"/>
          <w:sz w:val="24"/>
          <w:szCs w:val="24"/>
        </w:rPr>
        <w:t xml:space="preserve"> </w:t>
      </w:r>
    </w:p>
    <w:p w14:paraId="00000292" w14:textId="77777777" w:rsidR="005B5750" w:rsidRDefault="00E241CC">
      <w:pPr>
        <w:shd w:val="clear" w:color="auto" w:fill="FFFFFF"/>
        <w:spacing w:after="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 </w:t>
      </w:r>
    </w:p>
    <w:p w14:paraId="00000293" w14:textId="77777777" w:rsidR="005B5750" w:rsidRDefault="00E241CC">
      <w:pPr>
        <w:shd w:val="clear" w:color="auto" w:fill="FFFFFF"/>
        <w:spacing w:after="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Наявність ліцензії на право провадження діяльності з використання джерел іонізу</w:t>
      </w:r>
      <w:r>
        <w:rPr>
          <w:rFonts w:ascii="Times New Roman" w:eastAsia="Times New Roman" w:hAnsi="Times New Roman" w:cs="Times New Roman"/>
          <w:sz w:val="24"/>
          <w:szCs w:val="24"/>
        </w:rPr>
        <w:t>ючого випромінювання (експлуатація)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w:t>
      </w:r>
      <w:r>
        <w:rPr>
          <w:rFonts w:ascii="Times New Roman" w:eastAsia="Times New Roman" w:hAnsi="Times New Roman" w:cs="Times New Roman"/>
          <w:sz w:val="24"/>
          <w:szCs w:val="24"/>
        </w:rPr>
        <w:t>упівлі та потребує такої ліцензії.</w:t>
      </w:r>
    </w:p>
    <w:p w14:paraId="00000294" w14:textId="77777777" w:rsidR="005B5750" w:rsidRDefault="005B5750">
      <w:pPr>
        <w:shd w:val="clear" w:color="auto" w:fill="FFFFFF"/>
        <w:spacing w:after="0" w:line="276" w:lineRule="auto"/>
        <w:ind w:left="720" w:hanging="360"/>
        <w:jc w:val="both"/>
        <w:rPr>
          <w:rFonts w:ascii="Times New Roman" w:eastAsia="Times New Roman" w:hAnsi="Times New Roman" w:cs="Times New Roman"/>
          <w:sz w:val="24"/>
          <w:szCs w:val="24"/>
        </w:rPr>
      </w:pPr>
    </w:p>
    <w:p w14:paraId="00000295" w14:textId="77777777" w:rsidR="005B5750" w:rsidRDefault="005B5750">
      <w:pPr>
        <w:shd w:val="clear" w:color="auto" w:fill="FFFFFF"/>
        <w:spacing w:after="0" w:line="276" w:lineRule="auto"/>
        <w:ind w:left="720" w:hanging="360"/>
        <w:jc w:val="both"/>
        <w:rPr>
          <w:rFonts w:ascii="Times New Roman" w:eastAsia="Times New Roman" w:hAnsi="Times New Roman" w:cs="Times New Roman"/>
          <w:sz w:val="24"/>
          <w:szCs w:val="24"/>
        </w:rPr>
      </w:pPr>
    </w:p>
    <w:p w14:paraId="00000296" w14:textId="77777777" w:rsidR="005B5750" w:rsidRDefault="005B5750">
      <w:pPr>
        <w:shd w:val="clear" w:color="auto" w:fill="FFFFFF"/>
        <w:spacing w:after="0" w:line="276" w:lineRule="auto"/>
        <w:ind w:left="720" w:hanging="360"/>
        <w:jc w:val="both"/>
        <w:rPr>
          <w:rFonts w:ascii="Times New Roman" w:eastAsia="Times New Roman" w:hAnsi="Times New Roman" w:cs="Times New Roman"/>
          <w:sz w:val="24"/>
          <w:szCs w:val="24"/>
        </w:rPr>
      </w:pPr>
    </w:p>
    <w:p w14:paraId="00000297" w14:textId="77777777" w:rsidR="005B5750" w:rsidRDefault="005B5750">
      <w:pPr>
        <w:shd w:val="clear" w:color="auto" w:fill="FFFFFF"/>
        <w:spacing w:after="0" w:line="276" w:lineRule="auto"/>
        <w:ind w:left="720" w:hanging="360"/>
        <w:jc w:val="both"/>
        <w:rPr>
          <w:rFonts w:ascii="Times New Roman" w:eastAsia="Times New Roman" w:hAnsi="Times New Roman" w:cs="Times New Roman"/>
          <w:sz w:val="24"/>
          <w:szCs w:val="24"/>
        </w:rPr>
      </w:pPr>
    </w:p>
    <w:sectPr w:rsidR="005B5750">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E35"/>
    <w:multiLevelType w:val="hybridMultilevel"/>
    <w:tmpl w:val="E592C4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EF53E8"/>
    <w:multiLevelType w:val="hybridMultilevel"/>
    <w:tmpl w:val="86B4351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4410E1"/>
    <w:multiLevelType w:val="hybridMultilevel"/>
    <w:tmpl w:val="5DE6C6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643F0C"/>
    <w:multiLevelType w:val="hybridMultilevel"/>
    <w:tmpl w:val="C3FA077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DE05AF"/>
    <w:multiLevelType w:val="hybridMultilevel"/>
    <w:tmpl w:val="531A9BCA"/>
    <w:lvl w:ilvl="0" w:tplc="188AA696">
      <w:start w:val="1"/>
      <w:numFmt w:val="decimal"/>
      <w:lvlText w:val="%1."/>
      <w:lvlJc w:val="left"/>
      <w:pPr>
        <w:ind w:left="1000" w:hanging="360"/>
      </w:pPr>
      <w:rPr>
        <w:b w:val="0"/>
        <w:bCs/>
      </w:r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5" w15:restartNumberingAfterBreak="0">
    <w:nsid w:val="132A53D5"/>
    <w:multiLevelType w:val="hybridMultilevel"/>
    <w:tmpl w:val="AD0063B4"/>
    <w:lvl w:ilvl="0" w:tplc="953EFF54">
      <w:start w:val="6"/>
      <w:numFmt w:val="lowerLetter"/>
      <w:lvlText w:val="%1."/>
      <w:lvlJc w:val="left"/>
      <w:pPr>
        <w:ind w:left="10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225FF0"/>
    <w:multiLevelType w:val="hybridMultilevel"/>
    <w:tmpl w:val="94D42F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826360"/>
    <w:multiLevelType w:val="hybridMultilevel"/>
    <w:tmpl w:val="785A7502"/>
    <w:lvl w:ilvl="0" w:tplc="9386F52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EE7B72"/>
    <w:multiLevelType w:val="multilevel"/>
    <w:tmpl w:val="47586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368092B"/>
    <w:multiLevelType w:val="hybridMultilevel"/>
    <w:tmpl w:val="D32CE9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3C61670"/>
    <w:multiLevelType w:val="hybridMultilevel"/>
    <w:tmpl w:val="84320372"/>
    <w:lvl w:ilvl="0" w:tplc="69624EAE">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78A01C4"/>
    <w:multiLevelType w:val="hybridMultilevel"/>
    <w:tmpl w:val="6AE09278"/>
    <w:lvl w:ilvl="0" w:tplc="17766F72">
      <w:start w:val="7"/>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52E6EB3"/>
    <w:multiLevelType w:val="hybridMultilevel"/>
    <w:tmpl w:val="9B102708"/>
    <w:lvl w:ilvl="0" w:tplc="AF6075DE">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62140E"/>
    <w:multiLevelType w:val="multilevel"/>
    <w:tmpl w:val="24FA0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83050D2"/>
    <w:multiLevelType w:val="hybridMultilevel"/>
    <w:tmpl w:val="C05ABA22"/>
    <w:lvl w:ilvl="0" w:tplc="04220019">
      <w:start w:val="1"/>
      <w:numFmt w:val="lowerLetter"/>
      <w:lvlText w:val="%1."/>
      <w:lvlJc w:val="left"/>
      <w:pPr>
        <w:ind w:left="1000" w:hanging="360"/>
      </w:p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15" w15:restartNumberingAfterBreak="0">
    <w:nsid w:val="3CC21B58"/>
    <w:multiLevelType w:val="hybridMultilevel"/>
    <w:tmpl w:val="7226745C"/>
    <w:lvl w:ilvl="0" w:tplc="53626282">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DC1671C"/>
    <w:multiLevelType w:val="hybridMultilevel"/>
    <w:tmpl w:val="D90C1D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CE670A"/>
    <w:multiLevelType w:val="hybridMultilevel"/>
    <w:tmpl w:val="55343250"/>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4DF6E1C"/>
    <w:multiLevelType w:val="hybridMultilevel"/>
    <w:tmpl w:val="DB6E87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59C252E"/>
    <w:multiLevelType w:val="hybridMultilevel"/>
    <w:tmpl w:val="19E25A2C"/>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666C58"/>
    <w:multiLevelType w:val="hybridMultilevel"/>
    <w:tmpl w:val="00647DA2"/>
    <w:lvl w:ilvl="0" w:tplc="1C065316">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3C02730"/>
    <w:multiLevelType w:val="hybridMultilevel"/>
    <w:tmpl w:val="390857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B9949E9"/>
    <w:multiLevelType w:val="hybridMultilevel"/>
    <w:tmpl w:val="5B8203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EFF2C9C"/>
    <w:multiLevelType w:val="hybridMultilevel"/>
    <w:tmpl w:val="3FCCC9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50008B7"/>
    <w:multiLevelType w:val="multilevel"/>
    <w:tmpl w:val="071AF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64E787A"/>
    <w:multiLevelType w:val="hybridMultilevel"/>
    <w:tmpl w:val="829C0BD2"/>
    <w:lvl w:ilvl="0" w:tplc="F4DE9956">
      <w:start w:val="5"/>
      <w:numFmt w:val="lowerLetter"/>
      <w:lvlText w:val="%1."/>
      <w:lvlJc w:val="left"/>
      <w:pPr>
        <w:ind w:left="10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6981B0D"/>
    <w:multiLevelType w:val="hybridMultilevel"/>
    <w:tmpl w:val="C87CB0B4"/>
    <w:lvl w:ilvl="0" w:tplc="C93C9574">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9ED7E7E"/>
    <w:multiLevelType w:val="hybridMultilevel"/>
    <w:tmpl w:val="0208475A"/>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B893F63"/>
    <w:multiLevelType w:val="hybridMultilevel"/>
    <w:tmpl w:val="729E71EE"/>
    <w:lvl w:ilvl="0" w:tplc="EFCCEEDA">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57279E6"/>
    <w:multiLevelType w:val="hybridMultilevel"/>
    <w:tmpl w:val="5BA2E3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633435D"/>
    <w:multiLevelType w:val="multilevel"/>
    <w:tmpl w:val="220A6146"/>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9046BCB"/>
    <w:multiLevelType w:val="hybridMultilevel"/>
    <w:tmpl w:val="0EE83E30"/>
    <w:lvl w:ilvl="0" w:tplc="188AA696">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DF77A9"/>
    <w:multiLevelType w:val="hybridMultilevel"/>
    <w:tmpl w:val="E3F00C52"/>
    <w:lvl w:ilvl="0" w:tplc="C05077C8">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F95EBE"/>
    <w:multiLevelType w:val="hybridMultilevel"/>
    <w:tmpl w:val="DFA44EC2"/>
    <w:lvl w:ilvl="0" w:tplc="E258C47E">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24"/>
  </w:num>
  <w:num w:numId="3">
    <w:abstractNumId w:val="8"/>
  </w:num>
  <w:num w:numId="4">
    <w:abstractNumId w:val="13"/>
  </w:num>
  <w:num w:numId="5">
    <w:abstractNumId w:val="31"/>
  </w:num>
  <w:num w:numId="6">
    <w:abstractNumId w:val="4"/>
  </w:num>
  <w:num w:numId="7">
    <w:abstractNumId w:val="11"/>
  </w:num>
  <w:num w:numId="8">
    <w:abstractNumId w:val="26"/>
  </w:num>
  <w:num w:numId="9">
    <w:abstractNumId w:val="20"/>
  </w:num>
  <w:num w:numId="10">
    <w:abstractNumId w:val="7"/>
  </w:num>
  <w:num w:numId="11">
    <w:abstractNumId w:val="0"/>
  </w:num>
  <w:num w:numId="12">
    <w:abstractNumId w:val="33"/>
  </w:num>
  <w:num w:numId="13">
    <w:abstractNumId w:val="10"/>
  </w:num>
  <w:num w:numId="14">
    <w:abstractNumId w:val="14"/>
  </w:num>
  <w:num w:numId="15">
    <w:abstractNumId w:val="19"/>
  </w:num>
  <w:num w:numId="16">
    <w:abstractNumId w:val="25"/>
  </w:num>
  <w:num w:numId="17">
    <w:abstractNumId w:val="1"/>
  </w:num>
  <w:num w:numId="18">
    <w:abstractNumId w:val="5"/>
  </w:num>
  <w:num w:numId="19">
    <w:abstractNumId w:val="6"/>
  </w:num>
  <w:num w:numId="20">
    <w:abstractNumId w:val="22"/>
  </w:num>
  <w:num w:numId="21">
    <w:abstractNumId w:val="28"/>
  </w:num>
  <w:num w:numId="22">
    <w:abstractNumId w:val="21"/>
  </w:num>
  <w:num w:numId="23">
    <w:abstractNumId w:val="18"/>
  </w:num>
  <w:num w:numId="24">
    <w:abstractNumId w:val="15"/>
  </w:num>
  <w:num w:numId="25">
    <w:abstractNumId w:val="2"/>
  </w:num>
  <w:num w:numId="26">
    <w:abstractNumId w:val="16"/>
  </w:num>
  <w:num w:numId="27">
    <w:abstractNumId w:val="23"/>
  </w:num>
  <w:num w:numId="28">
    <w:abstractNumId w:val="17"/>
  </w:num>
  <w:num w:numId="29">
    <w:abstractNumId w:val="27"/>
  </w:num>
  <w:num w:numId="30">
    <w:abstractNumId w:val="3"/>
  </w:num>
  <w:num w:numId="31">
    <w:abstractNumId w:val="9"/>
  </w:num>
  <w:num w:numId="32">
    <w:abstractNumId w:val="32"/>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50"/>
    <w:rsid w:val="00405D26"/>
    <w:rsid w:val="005B5750"/>
    <w:rsid w:val="00AC5883"/>
    <w:rsid w:val="00DE6244"/>
    <w:rsid w:val="00E24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6902"/>
  <w15:docId w15:val="{D411C929-388F-4721-BD32-705D864B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5EC"/>
  </w:style>
  <w:style w:type="paragraph" w:styleId="1">
    <w:name w:val="heading 1"/>
    <w:basedOn w:val="a"/>
    <w:link w:val="10"/>
    <w:uiPriority w:val="9"/>
    <w:qFormat/>
    <w:rsid w:val="004613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46137E"/>
    <w:rPr>
      <w:rFonts w:ascii="Times New Roman" w:eastAsia="Times New Roman" w:hAnsi="Times New Roman" w:cs="Times New Roman"/>
      <w:b/>
      <w:bCs/>
      <w:kern w:val="36"/>
      <w:sz w:val="48"/>
      <w:szCs w:val="48"/>
      <w:lang w:eastAsia="uk-UA"/>
    </w:rPr>
  </w:style>
  <w:style w:type="paragraph" w:styleId="a4">
    <w:name w:val="List Paragraph"/>
    <w:basedOn w:val="a"/>
    <w:uiPriority w:val="34"/>
    <w:qFormat/>
    <w:rsid w:val="00C045EC"/>
    <w:pPr>
      <w:ind w:left="720"/>
      <w:contextualSpacing/>
    </w:pPr>
  </w:style>
  <w:style w:type="character" w:styleId="a5">
    <w:name w:val="annotation reference"/>
    <w:basedOn w:val="a0"/>
    <w:uiPriority w:val="99"/>
    <w:semiHidden/>
    <w:unhideWhenUsed/>
    <w:rsid w:val="00412E8A"/>
    <w:rPr>
      <w:sz w:val="16"/>
      <w:szCs w:val="16"/>
    </w:rPr>
  </w:style>
  <w:style w:type="paragraph" w:styleId="a6">
    <w:name w:val="annotation text"/>
    <w:basedOn w:val="a"/>
    <w:link w:val="a7"/>
    <w:uiPriority w:val="99"/>
    <w:semiHidden/>
    <w:unhideWhenUsed/>
    <w:rsid w:val="00412E8A"/>
    <w:pPr>
      <w:spacing w:line="240" w:lineRule="auto"/>
    </w:pPr>
    <w:rPr>
      <w:sz w:val="20"/>
      <w:szCs w:val="20"/>
    </w:rPr>
  </w:style>
  <w:style w:type="character" w:customStyle="1" w:styleId="a7">
    <w:name w:val="Текст примітки Знак"/>
    <w:basedOn w:val="a0"/>
    <w:link w:val="a6"/>
    <w:uiPriority w:val="99"/>
    <w:semiHidden/>
    <w:rsid w:val="00412E8A"/>
    <w:rPr>
      <w:sz w:val="20"/>
      <w:szCs w:val="20"/>
    </w:rPr>
  </w:style>
  <w:style w:type="paragraph" w:styleId="a8">
    <w:name w:val="annotation subject"/>
    <w:basedOn w:val="a6"/>
    <w:next w:val="a6"/>
    <w:link w:val="a9"/>
    <w:uiPriority w:val="99"/>
    <w:semiHidden/>
    <w:unhideWhenUsed/>
    <w:rsid w:val="00412E8A"/>
    <w:rPr>
      <w:b/>
      <w:bCs/>
    </w:rPr>
  </w:style>
  <w:style w:type="character" w:customStyle="1" w:styleId="a9">
    <w:name w:val="Тема примітки Знак"/>
    <w:basedOn w:val="a7"/>
    <w:link w:val="a8"/>
    <w:uiPriority w:val="99"/>
    <w:semiHidden/>
    <w:rsid w:val="00412E8A"/>
    <w:rPr>
      <w:b/>
      <w:bCs/>
      <w:sz w:val="20"/>
      <w:szCs w:val="20"/>
    </w:rPr>
  </w:style>
  <w:style w:type="paragraph" w:styleId="aa">
    <w:name w:val="Balloon Text"/>
    <w:basedOn w:val="a"/>
    <w:link w:val="ab"/>
    <w:uiPriority w:val="99"/>
    <w:semiHidden/>
    <w:unhideWhenUsed/>
    <w:rsid w:val="00412E8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12E8A"/>
    <w:rPr>
      <w:rFonts w:ascii="Segoe UI" w:hAnsi="Segoe UI" w:cs="Segoe UI"/>
      <w:sz w:val="18"/>
      <w:szCs w:val="18"/>
    </w:rPr>
  </w:style>
  <w:style w:type="paragraph" w:styleId="ac">
    <w:name w:val="Normal (Web)"/>
    <w:basedOn w:val="a"/>
    <w:uiPriority w:val="99"/>
    <w:semiHidden/>
    <w:unhideWhenUsed/>
    <w:rsid w:val="00412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412E8A"/>
  </w:style>
  <w:style w:type="paragraph" w:customStyle="1" w:styleId="msonormal0">
    <w:name w:val="msonormal"/>
    <w:basedOn w:val="a"/>
    <w:rsid w:val="00412E8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412E8A"/>
    <w:rPr>
      <w:color w:val="0000FF"/>
      <w:u w:val="single"/>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em8zit2ETG9vsemhmigz1iE7g==">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19269</Words>
  <Characters>10984</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Альбіна Волошина</dc:creator>
  <cp:lastModifiedBy>Богдан Омельченко</cp:lastModifiedBy>
  <cp:revision>2</cp:revision>
  <dcterms:created xsi:type="dcterms:W3CDTF">2024-10-29T14:06:00Z</dcterms:created>
  <dcterms:modified xsi:type="dcterms:W3CDTF">2024-10-29T14:06:00Z</dcterms:modified>
</cp:coreProperties>
</file>